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</w:t>
      </w:r>
      <w:r>
        <w:rPr>
          <w:rFonts w:ascii="Calibri" w:hAnsi="Calibri"/>
          <w:sz w:val="24"/>
          <w:color w:val="333333"/>
        </w:rPr>
        <w:t xml:space="preserve"> Baseline Characteristics of PREVENT-AD Sample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Stratified by Cognitive Progression Status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Remained CU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Progressed to MCI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Demographics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62.8 (5.0)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62.0 (4.7)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64.7 (5.4)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Caucasian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Amyloid PET 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AD risk indicators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APOE e4+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PRS ≥75%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Family history of 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CogDrisk ≥8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LIBRA2 ≥7.3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AD risk factors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APOE genotype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e3/e3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e2+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FDRs with 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Polygenic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4.87 (0.36)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4.87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4.85 (0.33)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CogDrisk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LIBRA2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Risk indicator burden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CogDrisk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LIBRA2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Baseline biomarkers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Aβ42/Aβ40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GFAP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NfL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 (6.3)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p-tau181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6.85 (5.12)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6.96 (5.93)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6.62 (2.45)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p-tau217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2.26 (1.09)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 (1.05)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 (1.14)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p-tau217/Aβ42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 (0.21)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 (0.24)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(SD) for continuous; n (%) for categorical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Kruskal-Wallis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2026-06-11T18:42:45Z</dcterms:created>
  <dcterms:modified xsi:type="dcterms:W3CDTF">2026-06-11T18:42:45Z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