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S2.</w:t>
      </w:r>
      <w:r>
        <w:rPr>
          <w:rFonts w:ascii="Calibri" w:hAnsi="Calibri"/>
          <w:sz w:val="24"/>
          <w:color w:val="333333"/>
        </w:rPr>
        <w:t xml:space="preserve"> Multivariable Associations between Composite Risk Burden and Plasma Biomarkers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regression; N = 184. Clinical risk scores z-scored (β per SD).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 (0.075)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0.287]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0.196 (0.073)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[0.053, 0.338]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0.263 (0.098)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[0.071, 0.455]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 (0.093)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[0.054, 0.418]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[-0.033, 0.109]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 (0.034)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[-0.031, 0.104]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[-0.149, 0.209]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[-0.164, 0.170]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[0.021,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-0.178 (0.078)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[-0.331, -0.025]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0.032]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-0.057 (0.064)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[-0.184, 0.069]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[-0.124, 0.124]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0.175 (0.084)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[0.010, 0.340]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0.163 (0.081)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[0.004, 0.322]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 (0.031)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[0.005, 0.127]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[-0.060, 0.058]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 (0.078)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[-0.083, 0.225]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[-0.095, 0.197]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[0.020,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-0.082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[-0.215,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ptau181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0.152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0.330]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0.195 (0.093)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[0.013, 0.376]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 (0.118)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[-0.146, 0.318]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 (0.119)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[-0.131, 0.334]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(0.044)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[-0.059, 0.113]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 (0.044)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[-0.102, 0.071]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 (0.110)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[-0.133, 0.299]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 (0.109)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[-0.162, 0.265]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[0.006, 0.042]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 (0.099)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[-0.127, 0.263]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-0.007 (0.014)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[-0.035,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0.247 (0.066)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[0.118, 0.377]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0.280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[0.146, 0.414]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-0.078 (0.086)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[-0.247, 0.092]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-0.070 (0.087)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[-0.240, 0.100]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 (0.032)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[-0.060, 0.067]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0.152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0.307]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0.141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0.295]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[0.005, 0.033]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[-0.118, 0.163]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ptau217/Aβ42 ratio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0.213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[0.071, 0.354]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0.236 (0.075)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[0.089, 0.383]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-0.133 (0.094)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[-0.318, 0.051]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-0.121 (0.096)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[-0.309, 0.068]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[-0.065, 0.072]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[-0.085, 0.054]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0.233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[0.061, 0.405]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0.222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[0.049, 0.395]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 (0.080)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[-0.098, 0.217]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p.adj: Hochberg-adjusted within each predictor family (APOE, PRS, PXS, FHx; 12 tests per family: 6 biomarkers × 2 models). Stars denote adjusted p: *&lt;0.05, **&lt;0.01, ***&lt;0.001. — = not applicable. CogDrisk model: biomarker ~ APOE ε4 + CogDrisk score (z) + PRS + FHx. LIBRA2 model: same risk predictors using LIBRA2 score (z), additionally adjusted for age, sex, and education.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2026-06-03T23:12:29Z</dcterms:created>
  <dcterms:modified xsi:type="dcterms:W3CDTF">2026-06-03T23:12:29Z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