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S5.</w:t>
      </w:r>
      <w:r>
        <w:rPr>
          <w:rFonts w:ascii="Calibri" w:hAnsi="Calibri"/>
          <w:sz w:val="24"/>
          <w:color w:val="333333"/>
        </w:rPr>
        <w:t xml:space="preserve"> Full Time Interaction Model: Composite Risk Score and Covariate Effects on Plasma Biomarker Trajectories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Linear mixed-effects models. LIBRA2 additionally adjusted for time interactions with age, sex, and education.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CogDrisk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LIBRA2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Predictor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p.adj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p.adj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Aβ42/40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[-0.004,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GFAP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[0.009, 0.050]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-0.072 (0.086)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[-0.241, 0.097]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0.159]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 (0.040)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[0.025, 0.180]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[-0.014, 0.017]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0.027]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[0.016, 0.042]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-0.211 (0.072)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[-0.351, -0.071]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[-0.014, 0.025]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-0.029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[-0.059,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NfL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[0.007, 0.044]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-0.037 (0.074)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[-0.181, 0.107]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 (0.036)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[-0.021, 0.118]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 (0.033)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[-0.048, 0.083]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[-0.015, 0.013]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[-0.011, 0.016]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[0.021, 0.043]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-0.120 (0.060)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[-0.238, -0.002]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[-0.011, 0.022]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-0.032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[-0.057, -0.007]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-0.044 (0.020)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[-0.084, -0.005]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-0.283 (0.166)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[-0.609, 0.043]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 (0.053)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[-0.026, 0.181]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0.115 (0.053)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[0.012, 0.219]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0.062]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[0.005, 0.038]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 (0.096)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[-0.144, 0.235]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-0.008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[-0.034, 0.018]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 (0.029)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[-0.037, 0.076]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-0.003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ptau217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[0.010, 0.041]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-0.059 (0.076)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[-0.208, 0.090]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0.100 (0.036)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[0.029, 0.171]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0.112 (0.040)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[0.033, 0.190]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0.014]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0.015]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0.020]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0.129 (0.071)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0.268]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0.031]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-0.020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[-0.043,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[-0.004,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ptau217/Aβ42 ratio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[0.004, 0.067]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-0.129 (0.133)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[-0.390, 0.131]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0.097 (0.045)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[0.009, 0.184]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 (0.046)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[0.028, 0.207]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Composite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[-0.032, 0.015]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[-0.026, 0.023]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[-0.009,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 (0.083)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[-0.059, 0.266]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[-0.021, 0.026]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 (0.022)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[-0.035, 0.053]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0.010]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p: unadjusted; p.adj: Hochberg-adjusted within each term family (12 tests per family: 6 biomarkers × 2 models). p.adj is reported for: 1) the composite risk score level effect and 2) the time × composite risk score interaction. Stars denote adjusted p: *&lt;0.05, **&lt;0.01, ***&lt;0.001. Covariate terms are not corrected (—).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2026-06-03T23:55:18Z</dcterms:created>
  <dcterms:modified xsi:type="dcterms:W3CDTF">2026-06-03T23:55:18Z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