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S6.</w:t>
      </w:r>
      <w:r>
        <w:rPr>
          <w:rFonts w:ascii="Calibri" w:hAnsi="Calibri"/>
          <w:sz w:val="24"/>
          <w:color w:val="333333"/>
        </w:rPr>
        <w:t xml:space="preserve"> Multivariable LME Time Interaction Model: Individual Risk Predictors and Their Association with Plasma Biomarker Trajectories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APOE ε4 burden, z-scored composite risk score (PXS), polygenic risk score (PRS), and family history burden (FHx). LIBRA2 models additionally adjusted for age, sex, and education.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CogDrisk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LIBRA2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Predictor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 (SE)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p.adj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Aβ42/40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-0.002]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[-0.008, -0.000]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[-0.008,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[0.000, 0.000]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GFAP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0.155 (0.058)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[0.041, 0.270]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0.220 (0.054)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[0.114, 0.326]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[0.021, 0.134]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[-0.042, 0.061]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0.162 (0.077)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0.313]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0.172 (0.070)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[0.034, 0.310]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 (0.071)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[-0.125, 0.152]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 (0.065)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[-0.145, 0.109]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[0.027, 0.047]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-0.201 (0.057)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[-0.314, -0.089]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[-0.010,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[-0.014, 0.030]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 (0.014)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[-0.009, 0.048]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 (0.014)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[-0.031,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[-0.029, 0.022]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[-0.045, 0.002]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NfL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[-0.102, 0.092]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 (0.046)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[-0.028, 0.151]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 (0.025)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[0.030, 0.126]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 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[-0.047, 0.039]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0.116 (0.065)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0.244]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0.138 (0.059)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[0.022, 0.254]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 (0.060)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[-0.029, 0.205]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 (0.054)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[-0.054, 0.159]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[0.028, 0.044]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-0.113 (0.048)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[-0.208, -0.019]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 (0.007)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-0.015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[-0.034, 0.005]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[-0.029, 0.011]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 (0.005)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[0.002, 0.020]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[0.006, 0.056]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 (0.013)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[0.010, 0.060]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[-0.044, -0.003]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[-0.001,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0.231 (0.070)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[0.095, 0.368]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0.265 (0.070)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[0.129, 0.402]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 (0.034)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[-0.019, 0.115]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[-0.075, 0.055]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 (0.091)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[-0.220, 0.137]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-0.030 (0.090)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[-0.205, 0.146]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0.068 (0.084)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[-0.097, 0.233]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 (0.083)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[-0.141, 0.185]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[0.013, 0.038]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[-0.097, 0.192]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-0.000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[-0.020,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 (0.020)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[0.017, 0.097]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 (0.021)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[0.024, 0.105]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 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[-0.025,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-0.006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[-0.058, 0.045]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-0.005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[-0.056, 0.046]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 (0.024)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[-0.029, 0.065]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[-0.041, 0.054]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[0.002, 0.009]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 (0.022)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[-0.028, 0.058]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0.217 (0.061)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[0.098, 0.336]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0.227 (0.060)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[0.110, 0.343]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 (0.029)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[0.017, 0.129]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 (0.031)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[-0.038, 0.083]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 (0.080)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[-0.111, 0.202]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0.052 (0.078)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[-0.100, 0.205]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 (0.074)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[-0.095, 0.194]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 (0.072)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[-0.112, 0.171]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[0.011, 0.035]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0.116 (0.063)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[-0.007, 0.240]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[-0.005,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[-0.003, 0.029]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0.023]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[-0.012,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-0.007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[-0.024, 0.010]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 (0.001)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[-0.002, 0.003]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8F9FA"/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ptau217/Aβ42 ratio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0.339 (0.066)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[0.209, 0.469]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 (0.067)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[0.216, 0.479]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 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 (0.032)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[-0.016, 0.111]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 (0.033)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[-0.066, 0.063]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-0.017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[-0.190, 0.156]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-0.014 (0.088)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[-0.186, 0.159]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0.137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[-0.018, 0.292]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0.103 (0.079)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[-0.052, 0.259]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 (0.006)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[0.004, 0.028]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 (0.071)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[0.007, 0.286]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[-0.028, 0.011]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APOE ε4+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 (0.018)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[-0.013, 0.056]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 (0.018)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[-0.011, 0.060]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PXS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 (0.008)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-0.004 (0.009)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[-0.021, 0.014]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PRS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 (0.023)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[-0.061, 0.029]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-0.017 (0.023)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[-0.062, 0.028]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FHx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 (0.020)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[-0.058, 0.021]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-0.027 (0.021)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[-0.068, 0.013]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Time × Covariates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2F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[-0.000, 0.006]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 (0.019)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[-0.025, 0.049]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Time ×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 (0.002)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[-0.006, 0.004]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p: unadjusted; p.adj: Hochberg-adjusted per predictor family (8 families: APOE, PXS, PRS, FHx × main effect/time interaction; 12 tests each: 6 biomarkers × 2 models). Stars denote adjusted p: *&lt;0.05, **&lt;0.01, ***&lt;0.001. PXS = z-scored composite risk score. PRS = polygenic risk score. FHx = family history burden. β: change in biomarker per 1-unit increase in predictor. Time × β: additional change in biomarker slope per 1-unit increase in predictor. — = not applicable (CogDrisk model does not adjust for demographic covariates).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2026-06-04T22:27:06Z</dcterms:created>
  <dcterms:modified xsi:type="dcterms:W3CDTF">2026-06-04T22:27:06Z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