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Snoring-AD</w:t>
      </w:r>
      <w:r>
        <w:t xml:space="preserve"> </w:t>
      </w:r>
      <w:r>
        <w:t xml:space="preserve">MR</w:t>
      </w:r>
      <w:r>
        <w:t xml:space="preserve"> </w:t>
      </w:r>
      <w:r>
        <w:t xml:space="preserve">analysis</w:t>
      </w:r>
    </w:p>
    <w:p>
      <w:pPr>
        <w:pStyle w:val="Author"/>
      </w:pPr>
      <w:r>
        <w:t xml:space="preserve">Shea</w:t>
      </w:r>
      <w:r>
        <w:t xml:space="preserve"> </w:t>
      </w:r>
      <w:r>
        <w:t xml:space="preserve">J.</w:t>
      </w:r>
      <w:r>
        <w:t xml:space="preserve"> </w:t>
      </w:r>
      <w:r>
        <w:t xml:space="preserve">Andrews</w:t>
      </w:r>
    </w:p>
    <w:p>
      <w:pPr>
        <w:pStyle w:val="Date"/>
      </w:pPr>
      <w:r>
        <w:t xml:space="preserve">2023-01-15</w:t>
      </w:r>
    </w:p>
    <w:bookmarkStart w:id="20" w:name="abstract"/>
    <w:p>
      <w:pPr>
        <w:pStyle w:val="Heading2"/>
      </w:pPr>
      <w:r>
        <w:t xml:space="preserve">Abstract</w:t>
      </w:r>
    </w:p>
    <w:p>
      <w:pPr>
        <w:pStyle w:val="FirstParagraph"/>
      </w:pPr>
      <w:r>
        <w:rPr>
          <w:bCs/>
          <w:b/>
        </w:rPr>
        <w:t xml:space="preserve">Introduction:</w:t>
      </w:r>
    </w:p>
    <w:p>
      <w:pPr>
        <w:pStyle w:val="BodyText"/>
      </w:pPr>
      <w:r>
        <w:rPr>
          <w:bCs/>
          <w:b/>
        </w:rPr>
        <w:t xml:space="preserve">Methods:</w:t>
      </w:r>
      <w:r>
        <w:t xml:space="preserve"> </w:t>
      </w:r>
      <w:r>
        <w:t xml:space="preserve">We used bidirectional two-sample Mendelian randomization (MR) to investigate the bidirectional causal effects of Snoring and Alzheiemr’s disease; and the causal effect of sleep apnea on AD. Summary statistics for genome-wide association studies of AD (n = 94,437; cases = 35,274), Snoring (n ~ 408,000; snorers ~ 152,000), and a multi-trait GWAS of sleep apnea and snoring (n = xxx). Genetic instruments were obtained by selecting independent genome-wide significant SNPs (p &lt; 5e-8, r2 = 0.001, window = 10Mb) for each exposure and harmonizing their effects with each outcome. Fixed-effects inverse-variance weighted (IVW) meta-analysis was the primary method for estimating causal effects, with MR-Egger, Weighted mode, Weighted median, radial-MR, estimators used as sensitivity analyses. LHC-MR was further used to investigate birectional effects accounting for potential heritable confounders. Multivariable MR was used to estimate direct of AD on snoring independent from BMI. Heterogeneity was assessed using Cohcrans Q test, and pleiotropy using the MR-Egger intercept.</w:t>
      </w:r>
    </w:p>
    <w:p>
      <w:pPr>
        <w:pStyle w:val="BodyText"/>
      </w:pPr>
      <w:r>
        <w:rPr>
          <w:bCs/>
          <w:b/>
        </w:rPr>
        <w:t xml:space="preserve">Results:</w:t>
      </w:r>
      <w:r>
        <w:t xml:space="preserve"> </w:t>
      </w:r>
      <w:r>
        <w:t xml:space="preserve">No causal effect of snoring (OR [95%CI] = 0.84 [0.39, 1.8], p = 0.65) or sleep apnea (OR [95%CI] = 1.1 [0.83, 1.3], p = 0.67) on Alzheimer’s disease was observed. In the reverse direction, no-significant effect of AD on snoring was observed using IVW (b [se] = -0.0022 [0.0014], p = 0.11) and LHC-MR (b [se] = 0.005 [0.02], p = 0.85), however, suggestive causal effects were observed in the MR-Egger (b [se] = 0.006 [0.002], p = 0.004), Weighted mode (b [se] = 0.004 [0.002], p = 0.03), and Weighted Median (b [se] = 0.004 [0.002], p = 0.01) sensetivity analyses. There was no evidence of heterogenity, but evidence of pleiotropic effects (MR-Egger Intercept: b [se] = 0.001 [0.0003], p = 0.009). Multivariable MR indicated that the effect of AD on snoring was likely driven by BMI.</w:t>
      </w:r>
    </w:p>
    <w:p>
      <w:pPr>
        <w:pStyle w:val="BodyText"/>
      </w:pPr>
      <w:r>
        <w:rPr>
          <w:bCs/>
          <w:b/>
        </w:rPr>
        <w:t xml:space="preserve">Conclusion:</w:t>
      </w:r>
    </w:p>
    <w:bookmarkEnd w:id="20"/>
    <w:bookmarkStart w:id="21" w:name="datasets"/>
    <w:p>
      <w:pPr>
        <w:pStyle w:val="Heading2"/>
      </w:pPr>
      <w:r>
        <w:t xml:space="preserve">Datasets</w:t>
      </w:r>
    </w:p>
    <w:p>
      <w:pPr>
        <w:pStyle w:val="FirstParagraph"/>
      </w:pPr>
      <w:r>
        <w:t xml:space="preserve">Exposure: Snoring</w:t>
      </w:r>
    </w:p>
    <w:p>
      <w:pPr>
        <w:numPr>
          <w:ilvl w:val="0"/>
          <w:numId w:val="1001"/>
        </w:numPr>
        <w:pStyle w:val="Compact"/>
      </w:pPr>
      <w:r>
        <w:t xml:space="preserve">Campos, A. I. et al. Nat Commun 11, 817 (2020).</w:t>
      </w:r>
    </w:p>
    <w:p>
      <w:pPr>
        <w:numPr>
          <w:ilvl w:val="0"/>
          <w:numId w:val="1001"/>
        </w:numPr>
        <w:pStyle w:val="Compact"/>
      </w:pPr>
      <w:r>
        <w:t xml:space="preserve">Genome-wide association study on snoring (n ~ 408,000; snorers ~ 152,000) using data from the UK Biobank. Identified 42 genome-wide signiﬁcant loci, with an SNP based heritability estimate of ~10% on the liability scale</w:t>
      </w:r>
    </w:p>
    <w:p>
      <w:pPr>
        <w:numPr>
          <w:ilvl w:val="0"/>
          <w:numId w:val="1001"/>
        </w:numPr>
        <w:pStyle w:val="Compact"/>
      </w:pPr>
      <w:r>
        <w:t xml:space="preserve">Also Snoring adjusted for BMI</w:t>
      </w:r>
    </w:p>
    <w:p>
      <w:pPr>
        <w:pStyle w:val="FirstParagraph"/>
      </w:pPr>
      <w:r>
        <w:t xml:space="preserve">Exposure: Sleep Apnea + Snoring</w:t>
      </w:r>
    </w:p>
    <w:p>
      <w:pPr>
        <w:numPr>
          <w:ilvl w:val="0"/>
          <w:numId w:val="1002"/>
        </w:numPr>
        <w:pStyle w:val="Compact"/>
      </w:pPr>
      <w:r>
        <w:t xml:space="preserve">Campos, A. I. et al. Sleep (2022).</w:t>
      </w:r>
    </w:p>
    <w:p>
      <w:pPr>
        <w:numPr>
          <w:ilvl w:val="0"/>
          <w:numId w:val="1002"/>
        </w:numPr>
        <w:pStyle w:val="Compact"/>
      </w:pPr>
      <w:r>
        <w:t xml:space="preserve">genome-wide association study (GWAS) meta-analysis of sleep apnoea across five cohorts (NTotal=523,366), followed by a multi-trait analysis of GWAS (MTAG) to boost power, leveraging the high genetic correlation between sleep apnoea and snoring. Replicated top findings in 23andMe. 49 Signficant loci, with twenty nine replicated in 23andMe</w:t>
      </w:r>
    </w:p>
    <w:p>
      <w:pPr>
        <w:pStyle w:val="FirstParagraph"/>
      </w:pPr>
      <w:r>
        <w:t xml:space="preserve">Exposure: BMI</w:t>
      </w:r>
    </w:p>
    <w:p>
      <w:pPr>
        <w:numPr>
          <w:ilvl w:val="0"/>
          <w:numId w:val="1003"/>
        </w:numPr>
        <w:pStyle w:val="Compact"/>
      </w:pPr>
      <w:r>
        <w:t xml:space="preserve">Lock et al Nature 2015</w:t>
      </w:r>
    </w:p>
    <w:p>
      <w:pPr>
        <w:numPr>
          <w:ilvl w:val="0"/>
          <w:numId w:val="1003"/>
        </w:numPr>
        <w:pStyle w:val="Compact"/>
      </w:pPr>
      <w:r>
        <w:t xml:space="preserve">To understand the genetic basis of obesity better, here we conduct a genome-wide association study and Metabochip meta-analysis of body mass index (BMI), a measure commonly used to define obesity and assess adiposity, in up to 339,224 individuals. This analysis identifies 97 BMI-associated loci, 56 of which are novel.</w:t>
      </w:r>
    </w:p>
    <w:p>
      <w:pPr>
        <w:pStyle w:val="FirstParagraph"/>
      </w:pPr>
      <w:r>
        <w:t xml:space="preserve">Outcome: Alzheimer’s disease</w:t>
      </w:r>
    </w:p>
    <w:p>
      <w:pPr>
        <w:numPr>
          <w:ilvl w:val="0"/>
          <w:numId w:val="1004"/>
        </w:numPr>
        <w:pStyle w:val="Compact"/>
      </w:pPr>
      <w:r>
        <w:t xml:space="preserve">Kunkle, B. W. et al. Nat Genet 51, 414–430 (2019).</w:t>
      </w:r>
    </w:p>
    <w:p>
      <w:pPr>
        <w:numPr>
          <w:ilvl w:val="0"/>
          <w:numId w:val="1004"/>
        </w:numPr>
        <w:pStyle w:val="Compact"/>
      </w:pPr>
      <w:r>
        <w:t xml:space="preserve">Genome-wide association study on Alzheimer’s disease (n = 94,437) using data from the International Genomics Alzheiemr’s Project. Identified 20 genome-wide signiﬁcant loci</w:t>
      </w:r>
    </w:p>
    <w:bookmarkEnd w:id="21"/>
    <w:bookmarkStart w:id="22" w:name="methods"/>
    <w:p>
      <w:pPr>
        <w:pStyle w:val="Heading2"/>
      </w:pPr>
      <w:r>
        <w:t xml:space="preserve">Methods</w:t>
      </w:r>
    </w:p>
    <w:p>
      <w:pPr>
        <w:pStyle w:val="FirstParagraph"/>
      </w:pPr>
      <w:r>
        <w:t xml:space="preserve">Harmonization</w:t>
      </w:r>
    </w:p>
    <w:p>
      <w:pPr>
        <w:numPr>
          <w:ilvl w:val="0"/>
          <w:numId w:val="1005"/>
        </w:numPr>
        <w:pStyle w:val="Compact"/>
      </w:pPr>
      <w:r>
        <w:t xml:space="preserve">LD Clumping: r^2 = 0.001; 10mb window</w:t>
      </w:r>
    </w:p>
    <w:p>
      <w:pPr>
        <w:numPr>
          <w:ilvl w:val="0"/>
          <w:numId w:val="1005"/>
        </w:numPr>
        <w:pStyle w:val="Compact"/>
      </w:pPr>
      <w:r>
        <w:t xml:space="preserve">p-value theshold: 5e-8</w:t>
      </w:r>
    </w:p>
    <w:p>
      <w:pPr>
        <w:numPr>
          <w:ilvl w:val="0"/>
          <w:numId w:val="1005"/>
        </w:numPr>
        <w:pStyle w:val="Compact"/>
      </w:pPr>
      <w:r>
        <w:t xml:space="preserve">Proxy SNPs using EUR reference, r^2 &gt; 0.8</w:t>
      </w:r>
    </w:p>
    <w:p>
      <w:pPr>
        <w:numPr>
          <w:ilvl w:val="0"/>
          <w:numId w:val="1005"/>
        </w:numPr>
        <w:pStyle w:val="Compact"/>
      </w:pPr>
      <w:r>
        <w:t xml:space="preserve">palindromic SNPs: Removed (no allele frequency info for exposure)</w:t>
      </w:r>
    </w:p>
    <w:p>
      <w:pPr>
        <w:numPr>
          <w:ilvl w:val="0"/>
          <w:numId w:val="1005"/>
        </w:numPr>
        <w:pStyle w:val="Compact"/>
      </w:pPr>
      <w:r>
        <w:t xml:space="preserve">no snps in APOE region or GWS for outcome</w:t>
      </w:r>
    </w:p>
    <w:p>
      <w:pPr>
        <w:pStyle w:val="FirstParagraph"/>
      </w:pPr>
      <w:r>
        <w:t xml:space="preserve">TwoSampleMR (Foward)</w:t>
      </w:r>
    </w:p>
    <w:p>
      <w:pPr>
        <w:numPr>
          <w:ilvl w:val="0"/>
          <w:numId w:val="1006"/>
        </w:numPr>
        <w:pStyle w:val="Compact"/>
      </w:pPr>
      <w:r>
        <w:t xml:space="preserve">Primary analysis: Fixed effect Inverse Weighted Analysis</w:t>
      </w:r>
    </w:p>
    <w:p>
      <w:pPr>
        <w:numPr>
          <w:ilvl w:val="0"/>
          <w:numId w:val="1006"/>
        </w:numPr>
        <w:pStyle w:val="Compact"/>
      </w:pPr>
      <w:r>
        <w:t xml:space="preserve">Sensitivity analysis: Weighted median, Weighted mode, MR-Egger</w:t>
      </w:r>
    </w:p>
    <w:p>
      <w:pPr>
        <w:numPr>
          <w:ilvl w:val="0"/>
          <w:numId w:val="1006"/>
        </w:numPr>
        <w:pStyle w:val="Compact"/>
      </w:pPr>
      <w:r>
        <w:t xml:space="preserve">Heterogeneity and Pleiotropy:</w:t>
      </w:r>
    </w:p>
    <w:p>
      <w:pPr>
        <w:numPr>
          <w:ilvl w:val="1"/>
          <w:numId w:val="1007"/>
        </w:numPr>
        <w:pStyle w:val="Compact"/>
      </w:pPr>
      <w:r>
        <w:t xml:space="preserve">MR-Egger Intercept</w:t>
      </w:r>
    </w:p>
    <w:p>
      <w:pPr>
        <w:numPr>
          <w:ilvl w:val="1"/>
          <w:numId w:val="1007"/>
        </w:numPr>
        <w:pStyle w:val="Compact"/>
      </w:pPr>
      <w:r>
        <w:t xml:space="preserve">Cochrans Q test</w:t>
      </w:r>
    </w:p>
    <w:p>
      <w:pPr>
        <w:numPr>
          <w:ilvl w:val="1"/>
          <w:numId w:val="1007"/>
        </w:numPr>
        <w:pStyle w:val="Compact"/>
      </w:pPr>
      <w:r>
        <w:t xml:space="preserve">Radial MR</w:t>
      </w:r>
    </w:p>
    <w:p>
      <w:pPr>
        <w:pStyle w:val="FirstParagraph"/>
      </w:pPr>
      <w:r>
        <w:t xml:space="preserve">TwoSampleMR (Reverse)</w:t>
      </w:r>
    </w:p>
    <w:p>
      <w:pPr>
        <w:numPr>
          <w:ilvl w:val="0"/>
          <w:numId w:val="1008"/>
        </w:numPr>
        <w:pStyle w:val="Compact"/>
      </w:pPr>
      <w:r>
        <w:t xml:space="preserve">Primary analysis: Fixed effect Inverse Weighted Analysis</w:t>
      </w:r>
    </w:p>
    <w:p>
      <w:pPr>
        <w:numPr>
          <w:ilvl w:val="0"/>
          <w:numId w:val="1008"/>
        </w:numPr>
        <w:pStyle w:val="Compact"/>
      </w:pPr>
      <w:r>
        <w:t xml:space="preserve">Sensitivity analysis: Weighted median, Weighted mode, MR-Egger</w:t>
      </w:r>
    </w:p>
    <w:p>
      <w:pPr>
        <w:numPr>
          <w:ilvl w:val="0"/>
          <w:numId w:val="1008"/>
        </w:numPr>
        <w:pStyle w:val="Compact"/>
      </w:pPr>
      <w:r>
        <w:t xml:space="preserve">Heterogeneity and Pleiotropy:</w:t>
      </w:r>
    </w:p>
    <w:p>
      <w:pPr>
        <w:numPr>
          <w:ilvl w:val="1"/>
          <w:numId w:val="1009"/>
        </w:numPr>
        <w:pStyle w:val="Compact"/>
      </w:pPr>
      <w:r>
        <w:t xml:space="preserve">MR-Egger Intercept</w:t>
      </w:r>
    </w:p>
    <w:p>
      <w:pPr>
        <w:numPr>
          <w:ilvl w:val="1"/>
          <w:numId w:val="1009"/>
        </w:numPr>
        <w:pStyle w:val="Compact"/>
      </w:pPr>
      <w:r>
        <w:t xml:space="preserve">Cochrans Q test</w:t>
      </w:r>
    </w:p>
    <w:p>
      <w:pPr>
        <w:numPr>
          <w:ilvl w:val="1"/>
          <w:numId w:val="1009"/>
        </w:numPr>
        <w:pStyle w:val="Compact"/>
      </w:pPr>
      <w:r>
        <w:t xml:space="preserve">Radial MR</w:t>
      </w:r>
    </w:p>
    <w:p>
      <w:pPr>
        <w:pStyle w:val="FirstParagraph"/>
      </w:pPr>
      <w:r>
        <w:t xml:space="preserve">LHC-MR</w:t>
      </w:r>
    </w:p>
    <w:p>
      <w:pPr>
        <w:pStyle w:val="BodyText"/>
      </w:pPr>
      <w:r>
        <w:t xml:space="preserve">Multivariable MR</w:t>
      </w:r>
    </w:p>
    <w:bookmarkEnd w:id="22"/>
    <w:bookmarkStart w:id="23" w:name="results-foward"/>
    <w:p>
      <w:pPr>
        <w:pStyle w:val="Heading2"/>
      </w:pPr>
      <w:r>
        <w:t xml:space="preserve">Results (Foward)</w:t>
      </w:r>
    </w:p>
    <w:p>
      <w:pPr>
        <w:pStyle w:val="FirstParagraph"/>
      </w:pPr>
      <w:r>
        <w:t xml:space="preserve">No significant effect of snoring or sleep apnea on 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4348"/>
        <w:gridCol w:w="888"/>
        <w:gridCol w:w="1084"/>
        <w:gridCol w:w="1451"/>
        <w:gridCol w:w="961"/>
      </w:tblGrid>
      <w:tr>
        <w:trPr>
          <w:trHeight w:val="614"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method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nsnp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w:t>
            </w:r>
          </w:p>
        </w:tc>
      </w:tr>
      <w:tr>
        <w:trPr>
          <w:trHeight w:val="621"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 (fixed effects)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0.560</w:t>
            </w:r>
          </w:p>
        </w:tc>
      </w:tr>
      <w:tr>
        <w:trPr>
          <w:trHeight w:val="621"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1.4, 14000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0.046</w:t>
            </w:r>
          </w:p>
        </w:tc>
      </w:tr>
      <w:tr>
        <w:trPr>
          <w:trHeight w:val="621" w:hRule="auto"/>
        </w:trPr>
        body 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0.510</w:t>
            </w:r>
          </w:p>
        </w:tc>
      </w:tr>
      <w:tr>
        <w:trPr>
          <w:trHeight w:val="621" w:hRule="auto"/>
        </w:trPr>
        body 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0.250</w:t>
            </w:r>
          </w:p>
        </w:tc>
      </w:tr>
      <w:tr>
        <w:trPr>
          <w:trHeight w:val="621" w:hRule="auto"/>
        </w:trPr>
        body 5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 (fixed effects)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0.650</w:t>
            </w:r>
          </w:p>
        </w:tc>
      </w:tr>
      <w:tr>
        <w:trPr>
          <w:trHeight w:val="621" w:hRule="auto"/>
        </w:trPr>
        body 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0.180</w:t>
            </w:r>
          </w:p>
        </w:tc>
      </w:tr>
      <w:tr>
        <w:trPr>
          <w:trHeight w:val="621"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0.820</w:t>
            </w:r>
          </w:p>
        </w:tc>
      </w:tr>
      <w:tr>
        <w:trPr>
          <w:trHeight w:val="621" w:hRule="auto"/>
        </w:trPr>
        body 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r>
      <w:tr>
        <w:trPr>
          <w:trHeight w:val="621" w:hRule="auto"/>
        </w:trPr>
        body 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 (fixed effects)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0.670</w:t>
            </w:r>
          </w:p>
        </w:tc>
      </w:tr>
      <w:tr>
        <w:trPr>
          <w:trHeight w:val="621" w:hRule="auto"/>
        </w:trPr>
        body10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0.500</w:t>
            </w:r>
          </w:p>
        </w:tc>
      </w:tr>
      <w:tr>
        <w:trPr>
          <w:trHeight w:val="621" w:hRule="auto"/>
        </w:trPr>
        body11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0.900</w:t>
            </w:r>
          </w:p>
        </w:tc>
      </w:tr>
      <w:tr>
        <w:trPr>
          <w:trHeight w:val="621" w:hRule="auto"/>
        </w:trPr>
        body12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0.380</w:t>
            </w:r>
          </w:p>
        </w:tc>
      </w:tr>
    </w:tbl>
    <w:p>
      <w:pPr>
        <w:pStyle w:val="BodyText"/>
      </w:pPr>
      <w:r>
        <w:t xml:space="preserve">Figure 1: Scatter Plot showing MR causal estimates</w:t>
      </w:r>
      <w:r>
        <w:t xml:space="preserve">Figure 1: Scatter Plot showing MR causal estimates</w:t>
      </w:r>
    </w:p>
    <w:p>
      <w:pPr>
        <w:pStyle w:val="BodyText"/>
      </w:pPr>
      <w:r>
        <w:t xml:space="preserve">No significant heterogenity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1254"/>
        <w:gridCol w:w="2967"/>
        <w:gridCol w:w="1328"/>
        <w:gridCol w:w="888"/>
        <w:gridCol w:w="1108"/>
      </w:tblGrid>
      <w:tr>
        <w:trPr>
          <w:trHeight w:val="619"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method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Q_df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Q_pval</w:t>
            </w:r>
          </w:p>
        </w:tc>
      </w:tr>
      <w:tr>
        <w:trPr>
          <w:trHeight w:val="621" w:hRule="auto"/>
        </w:trPr>
        body1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r>
      <w:tr>
        <w:trPr>
          <w:trHeight w:val="621" w:hRule="auto"/>
        </w:trPr>
        body2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17.21038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r>
      <w:tr>
        <w:trPr>
          <w:trHeight w:val="621" w:hRule="auto"/>
        </w:trPr>
        body3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37.72636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21" w:hRule="auto"/>
        </w:trPr>
        body4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40.55547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w:t>
            </w:r>
          </w:p>
        </w:tc>
      </w:tr>
      <w:tr>
        <w:trPr>
          <w:trHeight w:val="621" w:hRule="auto"/>
        </w:trPr>
        body5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27.11118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r>
      <w:tr>
        <w:trPr>
          <w:trHeight w:val="621" w:hRule="auto"/>
        </w:trPr>
        body6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27.91981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r>
    </w:tbl>
    <w:p>
      <w:pPr>
        <w:pStyle w:val="BodyText"/>
      </w:pPr>
      <w:r>
        <w:t xml:space="preserve">No significant pleiotropy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1254"/>
        <w:gridCol w:w="1939"/>
        <w:gridCol w:w="1084"/>
        <w:gridCol w:w="961"/>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egger_intercept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w:t>
            </w:r>
          </w:p>
        </w:tc>
      </w:tr>
      <w:tr>
        <w:trPr>
          <w:trHeight w:val="621"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r>
      <w:tr>
        <w:trPr>
          <w:trHeight w:val="621"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r>
      <w:tr>
        <w:trPr>
          <w:trHeight w:val="621"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r>
    </w:tbl>
    <w:p>
      <w:pPr>
        <w:pStyle w:val="BodyText"/>
      </w:pPr>
      <w:r>
        <w:t xml:space="preserve">Figure 2: Funnel Plot showing heterogeneity</w:t>
      </w:r>
      <w:r>
        <w:t xml:space="preserve">Figure 2: Funnel Plot showing heterogeneity</w:t>
      </w:r>
    </w:p>
    <w:p>
      <w:pPr>
        <w:pStyle w:val="BodyText"/>
      </w:pPr>
      <w:r>
        <w:t xml:space="preserve">no significant outliers from LOO or Radial MR</w:t>
      </w:r>
    </w:p>
    <w:p>
      <w:pPr>
        <w:pStyle w:val="BodyText"/>
      </w:pPr>
      <w:r>
        <w:t xml:space="preserve">Figure 3: Leave-one-out Plot showing effect of individual SNPs on causal etimate</w:t>
      </w:r>
      <w:r>
        <w:t xml:space="preserve">Figure 3: Leave-one-out Plot showing effect of individual SNPs on causal etimate</w:t>
      </w:r>
    </w:p>
    <w:p>
      <w:pPr>
        <w:pStyle w:val="BodyText"/>
      </w:pPr>
      <w:r>
        <w:t xml:space="preserve">Figure 4: Radial Plot showing potential outliers</w:t>
      </w:r>
      <w:r>
        <w:t xml:space="preserve">Figure 4: Radial Plot showing potential outliers</w:t>
      </w:r>
    </w:p>
    <w:bookmarkEnd w:id="23"/>
    <w:bookmarkStart w:id="27" w:name="results-reverse"/>
    <w:p>
      <w:pPr>
        <w:pStyle w:val="Heading2"/>
      </w:pPr>
      <w:r>
        <w:t xml:space="preserve">Results (Reverse)</w:t>
      </w:r>
    </w:p>
    <w:bookmarkStart w:id="24" w:name="causal-estimates"/>
    <w:p>
      <w:pPr>
        <w:pStyle w:val="Heading3"/>
      </w:pPr>
      <w:r>
        <w:t xml:space="preserve">Causal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54"/>
        <w:gridCol w:w="2123"/>
        <w:gridCol w:w="888"/>
        <w:gridCol w:w="1279"/>
        <w:gridCol w:w="1084"/>
        <w:gridCol w:w="1151"/>
      </w:tblGrid>
      <w:tr>
        <w:trPr>
          <w:trHeight w:val="614"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method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nsnp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w:t>
            </w:r>
          </w:p>
        </w:tc>
      </w:tr>
      <w:tr>
        <w:trPr>
          <w:trHeight w:val="621"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IVW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r>
      <w:tr>
        <w:trPr>
          <w:trHeight w:val="621"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r>
      <w:tr>
        <w:trPr>
          <w:trHeight w:val="621" w:hRule="auto"/>
        </w:trPr>
        body 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r>
      <w:tr>
        <w:trPr>
          <w:trHeight w:val="621" w:hRule="auto"/>
        </w:trPr>
        body 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r>
      <w:tr>
        <w:trPr>
          <w:trHeight w:val="621" w:hRule="auto"/>
        </w:trPr>
        body 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IVW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r>
      <w:tr>
        <w:trPr>
          <w:trHeight w:val="621" w:hRule="auto"/>
        </w:trPr>
        body 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0.0042</w:t>
            </w:r>
          </w:p>
        </w:tc>
      </w:tr>
      <w:tr>
        <w:trPr>
          <w:trHeight w:val="621"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r>
      <w:tr>
        <w:trPr>
          <w:trHeight w:val="621" w:hRule="auto"/>
        </w:trPr>
        body 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0.031</w:t>
            </w:r>
          </w:p>
        </w:tc>
      </w:tr>
      <w:tr>
        <w:trPr>
          <w:trHeight w:val="621" w:hRule="auto"/>
        </w:trPr>
        body 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IVW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body13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IVW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body14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0.082</w:t>
            </w:r>
          </w:p>
        </w:tc>
      </w:tr>
      <w:tr>
        <w:trPr>
          <w:trHeight w:val="621" w:hRule="auto"/>
        </w:trPr>
        body15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0.071</w:t>
            </w:r>
          </w:p>
        </w:tc>
      </w:tr>
      <w:tr>
        <w:trPr>
          <w:trHeight w:val="621" w:hRule="auto"/>
        </w:trPr>
        body16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Weighted 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r>
    </w:tbl>
    <w:p>
      <w:pPr>
        <w:pStyle w:val="FirstParagraph"/>
      </w:pPr>
      <w:r>
        <w:t xml:space="preserve">Figure x: Scatter Plot showing causal estimates of AD/BMI onto Snoring</w:t>
      </w:r>
    </w:p>
    <w:bookmarkEnd w:id="24"/>
    <w:bookmarkStart w:id="25" w:name="heterogenity"/>
    <w:p>
      <w:pPr>
        <w:pStyle w:val="Heading3"/>
      </w:pPr>
      <w:r>
        <w:t xml:space="preserve">Heterogenity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54"/>
        <w:gridCol w:w="2967"/>
        <w:gridCol w:w="1451"/>
        <w:gridCol w:w="888"/>
        <w:gridCol w:w="1151"/>
      </w:tblGrid>
      <w:tr>
        <w:trPr>
          <w:trHeight w:val="619"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method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Q_df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Q_pval</w:t>
            </w:r>
          </w:p>
        </w:tc>
      </w:tr>
      <w:tr>
        <w:trPr>
          <w:trHeight w:val="621" w:hRule="auto"/>
        </w:trPr>
        body1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38.92486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0.082</w:t>
            </w:r>
          </w:p>
        </w:tc>
      </w:tr>
      <w:tr>
        <w:trPr>
          <w:trHeight w:val="621" w:hRule="auto"/>
        </w:trPr>
        body2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45.29738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21" w:hRule="auto"/>
        </w:trPr>
        body3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r>
      <w:tr>
        <w:trPr>
          <w:trHeight w:val="621" w:hRule="auto"/>
        </w:trPr>
        body4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32.89441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r>
      <w:tr>
        <w:trPr>
          <w:trHeight w:val="621" w:hRule="auto"/>
        </w:trPr>
        body5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201.46821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235.80269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 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160.79858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Inverse variance weighted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196.00094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bl>
    <w:bookmarkEnd w:id="25"/>
    <w:bookmarkStart w:id="26" w:name="pleiotropy"/>
    <w:p>
      <w:pPr>
        <w:pStyle w:val="Heading3"/>
      </w:pPr>
      <w:r>
        <w:t xml:space="preserve">Pleiotropy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54"/>
        <w:gridCol w:w="1939"/>
        <w:gridCol w:w="1206"/>
        <w:gridCol w:w="1151"/>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egger_intercept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w:t>
            </w:r>
          </w:p>
        </w:tc>
      </w:tr>
      <w:tr>
        <w:trPr>
          <w:trHeight w:val="621" w:hRule="auto"/>
        </w:trPr>
        body1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w:t>
            </w:r>
          </w:p>
        </w:tc>
      </w:tr>
      <w:tr>
        <w:trPr>
          <w:trHeight w:val="621" w:hRule="auto"/>
        </w:trPr>
        body2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r>
      <w:tr>
        <w:trPr>
          <w:trHeight w:val="621" w:hRule="auto"/>
        </w:trPr>
        body3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SnoringBMIadj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0.0014</w:t>
            </w:r>
          </w:p>
        </w:tc>
      </w:tr>
      <w:tr>
        <w:trPr>
          <w:trHeight w:val="621" w:hRule="auto"/>
        </w:trPr>
        body4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bl>
    <w:p>
      <w:pPr>
        <w:pStyle w:val="FirstParagraph"/>
      </w:pPr>
      <w:r>
        <w:t xml:space="preserve">Figure x: Funnel Plot showing heterogeneity of AD/BMI onto Snoring</w:t>
      </w:r>
    </w:p>
    <w:p>
      <w:pPr>
        <w:pStyle w:val="BodyText"/>
      </w:pPr>
      <w:r>
        <w:t xml:space="preserve">Figure 2: Funnel Plot showing outliers in AD/BMI onto Snoring</w:t>
      </w:r>
    </w:p>
    <w:bookmarkEnd w:id="26"/>
    <w:bookmarkEnd w:id="27"/>
    <w:bookmarkStart w:id="28" w:name="lhc-mr"/>
    <w:p>
      <w:pPr>
        <w:pStyle w:val="Heading2"/>
      </w:pPr>
      <w:r>
        <w:t xml:space="preserve">LHC-MR</w:t>
      </w:r>
    </w:p>
    <w:p>
      <w:pPr>
        <w:pStyle w:val="FirstParagraph"/>
      </w:pPr>
      <w:r>
        <w:t xml:space="preserve">Parameters</w:t>
      </w:r>
    </w:p>
    <w:p>
      <w:pPr>
        <w:numPr>
          <w:ilvl w:val="0"/>
          <w:numId w:val="1010"/>
        </w:numPr>
        <w:pStyle w:val="Compact"/>
      </w:pPr>
      <w:r>
        <w:t xml:space="preserve">pi(x|y): polygenicity</w:t>
      </w:r>
    </w:p>
    <w:p>
      <w:pPr>
        <w:numPr>
          <w:ilvl w:val="0"/>
          <w:numId w:val="1010"/>
        </w:numPr>
        <w:pStyle w:val="Compact"/>
      </w:pPr>
      <w:r>
        <w:t xml:space="preserve">h2(x|y): heritability</w:t>
      </w:r>
    </w:p>
    <w:p>
      <w:pPr>
        <w:numPr>
          <w:ilvl w:val="0"/>
          <w:numId w:val="1010"/>
        </w:numPr>
        <w:pStyle w:val="Compact"/>
      </w:pPr>
      <w:r>
        <w:t xml:space="preserve">t(x|y): confounding effect</w:t>
      </w:r>
    </w:p>
    <w:p>
      <w:pPr>
        <w:numPr>
          <w:ilvl w:val="0"/>
          <w:numId w:val="1010"/>
        </w:numPr>
        <w:pStyle w:val="Compact"/>
      </w:pPr>
      <w:r>
        <w:t xml:space="preserve">axy: causal effect of exposure on outcome (fwd)</w:t>
      </w:r>
    </w:p>
    <w:p>
      <w:pPr>
        <w:numPr>
          <w:ilvl w:val="0"/>
          <w:numId w:val="1010"/>
        </w:numPr>
        <w:pStyle w:val="Compact"/>
      </w:pPr>
      <w:r>
        <w:t xml:space="preserve">ayx: causal effect of outcome on exposure (rev)</w:t>
      </w:r>
    </w:p>
    <w:p>
      <w:pPr>
        <w:numPr>
          <w:ilvl w:val="0"/>
          <w:numId w:val="1010"/>
        </w:numPr>
        <w:pStyle w:val="Compact"/>
      </w:pPr>
      <w:r>
        <w:t xml:space="preserve">iXY: cross-trait intercept (LDSC)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0"/>
        <w:gridCol w:w="1206"/>
        <w:gridCol w:w="1451"/>
        <w:gridCol w:w="1151"/>
        <w:gridCol w:w="961"/>
        <w:gridCol w:w="1084"/>
        <w:gridCol w:w="1206"/>
        <w:gridCol w:w="912"/>
        <w:gridCol w:w="1084"/>
        <w:gridCol w:w="1084"/>
        <w:gridCol w:w="716"/>
        <w:gridCol w:w="716"/>
      </w:tblGrid>
      <w:tr>
        <w:trPr>
          <w:trHeight w:val="61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parameters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piX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piY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h2X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h2Y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axy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ayx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iXY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iY</w:t>
            </w:r>
          </w:p>
        </w:tc>
      </w:tr>
      <w:tr>
        <w:trPr>
          <w:trHeight w:val="573"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 estimates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57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SE-JK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8"/>
    <w:bookmarkStart w:id="29" w:name="multivariable-mr"/>
    <w:p>
      <w:pPr>
        <w:pStyle w:val="Heading2"/>
      </w:pPr>
      <w:r>
        <w:t xml:space="preserve">Multivariable MR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254"/>
        <w:gridCol w:w="888"/>
        <w:gridCol w:w="1084"/>
        <w:gridCol w:w="1084"/>
        <w:gridCol w:w="1151"/>
      </w:tblGrid>
      <w:tr>
        <w:trPr>
          <w:trHeight w:val="61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nsnp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w:t>
            </w:r>
          </w:p>
        </w:tc>
      </w:tr>
      <w:tr>
        <w:trPr>
          <w:trHeight w:val="621"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r>
      <w:tr>
        <w:trPr>
          <w:trHeight w:val="621"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bl>
    <w:p>
      <w:pPr>
        <w:pStyle w:val="FirstParagraph"/>
      </w:pPr>
      <w:r>
        <w:t xml:space="preserve">Figure x: RMVMR results for AD (exp1) and BMI (exp2) on Snoring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303"/>
        <w:gridCol w:w="1743"/>
        <w:gridCol w:w="1206"/>
        <w:gridCol w:w="1084"/>
        <w:gridCol w:w="1151"/>
      </w:tblGrid>
      <w:tr>
        <w:trPr>
          <w:trHeight w:val="61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Exposure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method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621"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MRMV-IVW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r>
      <w:tr>
        <w:trPr>
          <w:trHeight w:val="621"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MRMV-IVW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r>
      <w:tr>
        <w:trPr>
          <w:trHeight w:val="621"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MRMV-Egger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MRMV-WME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r>
      <w:tr>
        <w:trPr>
          <w:trHeight w:val="621"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MRMV-WME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621"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MRMV_WBE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r>
      <w:tr>
        <w:trPr>
          <w:trHeight w:val="621"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Snoring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MRMV_WBE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Snoring-AD MR analysis</dc:title>
  <dc:creator>Shea J. Andrews</dc:creator>
  <cp:keywords/>
  <dcterms:created xsi:type="dcterms:W3CDTF">2023-01-28T16:33:53Z</dcterms:created>
  <dcterms:modified xsi:type="dcterms:W3CDTF">2023-01-28T16:33:53Z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2023-01-15</vt:lpwstr>
  </property>
  <property fmtid="{D5CDD505-2E9C-101B-9397-08002B2CF9AE}" pid="3" name="editor_options">
    <vt:lpwstr/>
  </property>
  <property fmtid="{D5CDD505-2E9C-101B-9397-08002B2CF9AE}" pid="4" name="output">
    <vt:lpwstr/>
  </property>
</Properties>
</file>