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DePredict</w:t>
      </w:r>
    </w:p>
    <w:p>
      <w:pPr>
        <w:jc w:val="center"/>
      </w:pPr>
      <w:r>
        <w:rPr>
          <w:b w:val="0"/>
          <w:i/>
          <w:sz w:val="28"/>
        </w:rPr>
        <w:t>多智能体对抗辩论驱动的预测市场预测框架</w:t>
      </w:r>
    </w:p>
    <w:p/>
    <w:p>
      <w:pPr>
        <w:jc w:val="center"/>
      </w:pPr>
      <w:r>
        <w:rPr>
          <w:b w:val="0"/>
          <w:i w:val="0"/>
          <w:sz w:val="22"/>
        </w:rPr>
        <w:t>结合大语言模型辩论、机制设计与检索增强生成的量化预测系统</w:t>
      </w:r>
    </w:p>
    <w:p/>
    <w:p>
      <w:pPr>
        <w:jc w:val="center"/>
      </w:pPr>
      <w:r>
        <w:rPr>
          <w:b w:val="0"/>
          <w:i w:val="0"/>
          <w:sz w:val="20"/>
        </w:rPr>
        <w:t>版本 1.0  |  2026 年 3 月</w:t>
      </w:r>
    </w:p>
    <w:p/>
    <w:p/>
    <w:p>
      <w:pPr>
        <w:pStyle w:val="Heading1"/>
      </w:pPr>
      <w:r>
        <w:t>摘要</w:t>
      </w:r>
    </w:p>
    <w:p>
      <w:r>
        <w:t>预测市场被广泛认为是将分散信息聚合为概率估计的最高效机制之一。然而，由于流动性不足、行为偏差和参与者之间的信息不对称，市场价格可能偏离真实概率。本文提出 DePredict——一个多智能体 AI 预测系统，利用基于大语言模型（LLM）的分析师之间的对抗性辩论、结合 RAFT 文档混合的检索增强生成（RAG），以及源自机制设计理论的九种聚合机制。在对 27 个预测市场问题（18 个已结算）的前瞻性评估中，DePredict 的 Brier Score 为 0.1836，而市场为 0.2403，具有 +5.7% 的优势和 72.2% 的胜率。本系统证明，AI 智能体之间的结构化认知冲突结合有原则的聚合方法，能够系统性地识别预测市场中的定价偏差。</w:t>
      </w:r>
    </w:p>
    <w:p>
      <w:pPr>
        <w:pStyle w:val="Heading1"/>
      </w:pPr>
      <w:r>
        <w:t>1. 引言</w:t>
      </w:r>
    </w:p>
    <w:p>
      <w:pPr>
        <w:pStyle w:val="Heading2"/>
      </w:pPr>
      <w:r>
        <w:t>1.1 问题陈述</w:t>
      </w:r>
    </w:p>
    <w:p>
      <w:r>
        <w:t>预测市场（如 Polymarket、Kalshi、Manifold）允许参与者交易未来事件的合约，价格反映集体概率估计。虽然理论上高效，但这些市场存在以下局限：</w:t>
      </w:r>
    </w:p>
    <w:p>
      <w:pPr>
        <w:pStyle w:val="ListBullet"/>
      </w:pPr>
      <w:r>
        <w:t>流动性不足：许多市场交易量不够，导致价格陈旧或不准确</w:t>
      </w:r>
    </w:p>
    <w:p>
      <w:pPr>
        <w:pStyle w:val="ListBullet"/>
      </w:pPr>
      <w:r>
        <w:t>行为偏差：参与者表现出锚定效应、羊群效应和过度自信</w:t>
      </w:r>
    </w:p>
    <w:p>
      <w:pPr>
        <w:pStyle w:val="ListBullet"/>
      </w:pPr>
      <w:r>
        <w:t>信息碎片化：没有单个参与者能获取所有相关信息</w:t>
      </w:r>
    </w:p>
    <w:p>
      <w:pPr>
        <w:pStyle w:val="ListBullet"/>
      </w:pPr>
      <w:r>
        <w:t>价格发现滞后：市场可能需要时间来纳入新出现的信息</w:t>
      </w:r>
    </w:p>
    <w:p>
      <w:pPr>
        <w:pStyle w:val="Heading2"/>
      </w:pPr>
      <w:r>
        <w:t>1.2 我们的方法</w:t>
      </w:r>
    </w:p>
    <w:p>
      <w:r>
        <w:t>DePredict 采用根本不同的方法来解决这些局限：我们组建一个由 10 个具有多元分析立场的 AI 分析师智能体组成的专家面板，并让它们进行结构化的三轮对抗性辩论。核心洞察是：信息不对称的智能体之间的结构化分歧能够暴露假设、挑战偏见，并产生比任何单一模型或简单集成更好校准的概率估计。</w:t>
      </w:r>
    </w:p>
    <w:p>
      <w:pPr>
        <w:pStyle w:val="Heading2"/>
      </w:pPr>
      <w:r>
        <w:t>1.3 贡献</w:t>
      </w:r>
    </w:p>
    <w:p>
      <w:pPr>
        <w:pStyle w:val="ListBullet"/>
      </w:pPr>
      <w:r>
        <w:t>三轮对抗辩论管线：可证明地提高预测准确性，优于独立（无辩论）估计</w:t>
      </w:r>
    </w:p>
    <w:p>
      <w:pPr>
        <w:pStyle w:val="ListBullet"/>
      </w:pPr>
      <w:r>
        <w:t>信息分区：一种新颖的文档分发策略，在智能体之间创造真正的信息不对称</w:t>
      </w:r>
    </w:p>
    <w:p>
      <w:pPr>
        <w:pStyle w:val="ListBullet"/>
      </w:pPr>
      <w:r>
        <w:t>九种聚合机制：涵盖统计基线、市场机制（LMSR）和激励兼容评分（BTS），附实证比较</w:t>
      </w:r>
    </w:p>
    <w:p>
      <w:pPr>
        <w:pStyle w:val="ListBullet"/>
      </w:pPr>
      <w:r>
        <w:t>RAFT 启发的引用追踪：用于评估对抗环境中的 RAG 质量</w:t>
      </w:r>
    </w:p>
    <w:p>
      <w:pPr>
        <w:pStyle w:val="ListBullet"/>
      </w:pPr>
      <w:r>
        <w:t>前瞻性评估：对比实时预测市场价格，展示统计显著的超额表现</w:t>
      </w:r>
    </w:p>
    <w:p>
      <w:pPr>
        <w:pStyle w:val="Heading1"/>
      </w:pPr>
      <w:r>
        <w:t>2. 系统架构</w:t>
      </w:r>
    </w:p>
    <w:p>
      <w:pPr>
        <w:pStyle w:val="Heading2"/>
      </w:pPr>
      <w:r>
        <w:t>2.1 概述</w:t>
      </w:r>
    </w:p>
    <w:p>
      <w:r>
        <w:t>DePredict 作为五阶段管线运行：</w:t>
      </w:r>
    </w:p>
    <w:p>
      <w:pPr>
        <w:jc w:val="center"/>
      </w:pPr>
      <w:r>
        <w:rPr>
          <w:i/>
          <w:sz w:val="22"/>
        </w:rPr>
        <w:t>问题 → RAG 检索 → 信息分区 → 三轮辩论 → 聚合 → 概率</w:t>
      </w:r>
    </w:p>
    <w:p>
      <w:r>
        <w:t>系统部署为 Web 应用，托管于 depredict.org，采用 Vue.js 前端和 Flask 后端，通过 Docker Compose 编排，Caddy 提供 HTTPS。</w:t>
      </w:r>
    </w:p>
    <w:p>
      <w:pPr>
        <w:pStyle w:val="Heading2"/>
      </w:pPr>
      <w:r>
        <w:t>2.2 组件架构</w:t>
      </w:r>
    </w:p>
    <w:tbl>
      <w:tblPr>
        <w:tblStyle w:val="MediumShading1-Accent1"/>
        <w:tblW w:type="auto" w:w="0"/>
        <w:jc w:val="center"/>
        <w:tblLook w:firstColumn="1" w:firstRow="1" w:lastColumn="0" w:lastRow="0" w:noHBand="0" w:noVBand="1" w:val="04A0"/>
      </w:tblPr>
      <w:tblGrid>
        <w:gridCol w:w="3120"/>
        <w:gridCol w:w="3120"/>
        <w:gridCol w:w="3120"/>
      </w:tblGrid>
      <w:tr>
        <w:tc>
          <w:tcPr>
            <w:tcW w:type="dxa" w:w="3120"/>
          </w:tcPr>
          <w:p>
            <w:r>
              <w:rPr>
                <w:b/>
              </w:rPr>
              <w:t>组件</w:t>
            </w:r>
          </w:p>
        </w:tc>
        <w:tc>
          <w:tcPr>
            <w:tcW w:type="dxa" w:w="3120"/>
          </w:tcPr>
          <w:p>
            <w:r>
              <w:rPr>
                <w:b/>
              </w:rPr>
              <w:t>技术</w:t>
            </w:r>
          </w:p>
        </w:tc>
        <w:tc>
          <w:tcPr>
            <w:tcW w:type="dxa" w:w="3120"/>
          </w:tcPr>
          <w:p>
            <w:r>
              <w:rPr>
                <w:b/>
              </w:rPr>
              <w:t>职责</w:t>
            </w:r>
          </w:p>
        </w:tc>
      </w:tr>
      <w:tr>
        <w:tc>
          <w:tcPr>
            <w:tcW w:type="dxa" w:w="3120"/>
          </w:tcPr>
          <w:p>
            <w:r>
              <w:t>LLM 后端</w:t>
            </w:r>
          </w:p>
        </w:tc>
        <w:tc>
          <w:tcPr>
            <w:tcW w:type="dxa" w:w="3120"/>
          </w:tcPr>
          <w:p>
            <w:r>
              <w:t>DeepSeek V3, GPT-4o, Claude, Gemini</w:t>
            </w:r>
          </w:p>
        </w:tc>
        <w:tc>
          <w:tcPr>
            <w:tcW w:type="dxa" w:w="3120"/>
          </w:tcPr>
          <w:p>
            <w:r>
              <w:t>多模型智能体多样性</w:t>
            </w:r>
          </w:p>
        </w:tc>
      </w:tr>
      <w:tr>
        <w:tc>
          <w:tcPr>
            <w:tcW w:type="dxa" w:w="3120"/>
          </w:tcPr>
          <w:p>
            <w:r>
              <w:t>后端</w:t>
            </w:r>
          </w:p>
        </w:tc>
        <w:tc>
          <w:tcPr>
            <w:tcW w:type="dxa" w:w="3120"/>
          </w:tcPr>
          <w:p>
            <w:r>
              <w:t>Python 3.11+, Flask</w:t>
            </w:r>
          </w:p>
        </w:tc>
        <w:tc>
          <w:tcPr>
            <w:tcW w:type="dxa" w:w="3120"/>
          </w:tcPr>
          <w:p>
            <w:r>
              <w:t>API 和辩论编排</w:t>
            </w:r>
          </w:p>
        </w:tc>
      </w:tr>
      <w:tr>
        <w:tc>
          <w:tcPr>
            <w:tcW w:type="dxa" w:w="3120"/>
          </w:tcPr>
          <w:p>
            <w:r>
              <w:t>前端</w:t>
            </w:r>
          </w:p>
        </w:tc>
        <w:tc>
          <w:tcPr>
            <w:tcW w:type="dxa" w:w="3120"/>
          </w:tcPr>
          <w:p>
            <w:r>
              <w:t>Vue.js, Vite, Nginx</w:t>
            </w:r>
          </w:p>
        </w:tc>
        <w:tc>
          <w:tcPr>
            <w:tcW w:type="dxa" w:w="3120"/>
          </w:tcPr>
          <w:p>
            <w:r>
              <w:t>量化终端界面</w:t>
            </w:r>
          </w:p>
        </w:tc>
      </w:tr>
      <w:tr>
        <w:tc>
          <w:tcPr>
            <w:tcW w:type="dxa" w:w="3120"/>
          </w:tcPr>
          <w:p>
            <w:r>
              <w:t>检索</w:t>
            </w:r>
          </w:p>
        </w:tc>
        <w:tc>
          <w:tcPr>
            <w:tcW w:type="dxa" w:w="3120"/>
          </w:tcPr>
          <w:p>
            <w:r>
              <w:t>YouTube 字幕, Tavily API</w:t>
            </w:r>
          </w:p>
        </w:tc>
        <w:tc>
          <w:tcPr>
            <w:tcW w:type="dxa" w:w="3120"/>
          </w:tcPr>
          <w:p>
            <w:r>
              <w:t>RAG 数据源</w:t>
            </w:r>
          </w:p>
        </w:tc>
      </w:tr>
      <w:tr>
        <w:tc>
          <w:tcPr>
            <w:tcW w:type="dxa" w:w="3120"/>
          </w:tcPr>
          <w:p>
            <w:r>
              <w:t>可视化</w:t>
            </w:r>
          </w:p>
        </w:tc>
        <w:tc>
          <w:tcPr>
            <w:tcW w:type="dxa" w:w="3120"/>
          </w:tcPr>
          <w:p>
            <w:r>
              <w:t>Plotly, Matplotlib</w:t>
            </w:r>
          </w:p>
        </w:tc>
        <w:tc>
          <w:tcPr>
            <w:tcW w:type="dxa" w:w="3120"/>
          </w:tcPr>
          <w:p>
            <w:r>
              <w:t>图表和分析</w:t>
            </w:r>
          </w:p>
        </w:tc>
      </w:tr>
      <w:tr>
        <w:tc>
          <w:tcPr>
            <w:tcW w:type="dxa" w:w="3120"/>
          </w:tcPr>
          <w:p>
            <w:r>
              <w:t>部署</w:t>
            </w:r>
          </w:p>
        </w:tc>
        <w:tc>
          <w:tcPr>
            <w:tcW w:type="dxa" w:w="3120"/>
          </w:tcPr>
          <w:p>
            <w:r>
              <w:t>Docker Compose, Caddy</w:t>
            </w:r>
          </w:p>
        </w:tc>
        <w:tc>
          <w:tcPr>
            <w:tcW w:type="dxa" w:w="3120"/>
          </w:tcPr>
          <w:p>
            <w:r>
              <w:t>生产环境基础设施</w:t>
            </w:r>
          </w:p>
        </w:tc>
      </w:tr>
      <w:tr>
        <w:tc>
          <w:tcPr>
            <w:tcW w:type="dxa" w:w="3120"/>
          </w:tcPr>
          <w:p>
            <w:r>
              <w:t>统计</w:t>
            </w:r>
          </w:p>
        </w:tc>
        <w:tc>
          <w:tcPr>
            <w:tcW w:type="dxa" w:w="3120"/>
          </w:tcPr>
          <w:p>
            <w:r>
              <w:t>NumPy, SciPy</w:t>
            </w:r>
          </w:p>
        </w:tc>
        <w:tc>
          <w:tcPr>
            <w:tcW w:type="dxa" w:w="3120"/>
          </w:tcPr>
          <w:p>
            <w:r>
              <w:t>显著性检验</w:t>
            </w:r>
          </w:p>
        </w:tc>
      </w:tr>
    </w:tbl>
    <w:p/>
    <w:p>
      <w:pPr>
        <w:pStyle w:val="Heading1"/>
      </w:pPr>
      <w:r>
        <w:t>3. 智能体设计</w:t>
      </w:r>
    </w:p>
    <w:p>
      <w:pPr>
        <w:pStyle w:val="Heading2"/>
      </w:pPr>
      <w:r>
        <w:t>3.1 人设多样性</w:t>
      </w:r>
    </w:p>
    <w:p>
      <w:r>
        <w:t>系统使用 10 个具有刻意多元化分析框架的智能体：</w:t>
      </w:r>
    </w:p>
    <w:tbl>
      <w:tblPr>
        <w:tblStyle w:val="MediumShading1-Accent1"/>
        <w:tblW w:type="auto" w:w="0"/>
        <w:jc w:val="center"/>
        <w:tblLook w:firstColumn="1" w:firstRow="1" w:lastColumn="0" w:lastRow="0" w:noHBand="0" w:noVBand="1" w:val="04A0"/>
      </w:tblPr>
      <w:tblGrid>
        <w:gridCol w:w="3120"/>
        <w:gridCol w:w="3120"/>
        <w:gridCol w:w="3120"/>
      </w:tblGrid>
      <w:tr>
        <w:tc>
          <w:tcPr>
            <w:tcW w:type="dxa" w:w="3120"/>
          </w:tcPr>
          <w:p>
            <w:r>
              <w:rPr>
                <w:b/>
              </w:rPr>
              <w:t>智能体</w:t>
            </w:r>
          </w:p>
        </w:tc>
        <w:tc>
          <w:tcPr>
            <w:tcW w:type="dxa" w:w="3120"/>
          </w:tcPr>
          <w:p>
            <w:r>
              <w:rPr>
                <w:b/>
              </w:rPr>
              <w:t>立场</w:t>
            </w:r>
          </w:p>
        </w:tc>
        <w:tc>
          <w:tcPr>
            <w:tcW w:type="dxa" w:w="3120"/>
          </w:tcPr>
          <w:p>
            <w:r>
              <w:rPr>
                <w:b/>
              </w:rPr>
              <w:t>分析框架</w:t>
            </w:r>
          </w:p>
        </w:tc>
      </w:tr>
      <w:tr>
        <w:tc>
          <w:tcPr>
            <w:tcW w:type="dxa" w:w="3120"/>
          </w:tcPr>
          <w:p>
            <w:r>
              <w:t>Agent 1-3</w:t>
            </w:r>
          </w:p>
        </w:tc>
        <w:tc>
          <w:tcPr>
            <w:tcW w:type="dxa" w:w="3120"/>
          </w:tcPr>
          <w:p>
            <w:r>
              <w:t>看多（Bull）</w:t>
            </w:r>
          </w:p>
        </w:tc>
        <w:tc>
          <w:tcPr>
            <w:tcW w:type="dxa" w:w="3120"/>
          </w:tcPr>
          <w:p>
            <w:r>
              <w:t>乐观偏向、趋势跟踪、动量分析</w:t>
            </w:r>
          </w:p>
        </w:tc>
      </w:tr>
      <w:tr>
        <w:tc>
          <w:tcPr>
            <w:tcW w:type="dxa" w:w="3120"/>
          </w:tcPr>
          <w:p>
            <w:r>
              <w:t>Agent 4-6</w:t>
            </w:r>
          </w:p>
        </w:tc>
        <w:tc>
          <w:tcPr>
            <w:tcW w:type="dxa" w:w="3120"/>
          </w:tcPr>
          <w:p>
            <w:r>
              <w:t>看空（Bear）</w:t>
            </w:r>
          </w:p>
        </w:tc>
        <w:tc>
          <w:tcPr>
            <w:tcW w:type="dxa" w:w="3120"/>
          </w:tcPr>
          <w:p>
            <w:r>
              <w:t>怀疑论、风险导向、逆向分析</w:t>
            </w:r>
          </w:p>
        </w:tc>
      </w:tr>
      <w:tr>
        <w:tc>
          <w:tcPr>
            <w:tcW w:type="dxa" w:w="3120"/>
          </w:tcPr>
          <w:p>
            <w:r>
              <w:t>Agent 7-10</w:t>
            </w:r>
          </w:p>
        </w:tc>
        <w:tc>
          <w:tcPr>
            <w:tcW w:type="dxa" w:w="3120"/>
          </w:tcPr>
          <w:p>
            <w:r>
              <w:t>中立（Neutral）</w:t>
            </w:r>
          </w:p>
        </w:tc>
        <w:tc>
          <w:tcPr>
            <w:tcW w:type="dxa" w:w="3120"/>
          </w:tcPr>
          <w:p>
            <w:r>
              <w:t>贝叶斯推理、历史类比、统计建模、风险评估</w:t>
            </w:r>
          </w:p>
        </w:tc>
      </w:tr>
    </w:tbl>
    <w:p/>
    <w:p>
      <w:r>
        <w:t>每个智能体由四个组件构建：</w:t>
      </w:r>
    </w:p>
    <w:p>
      <w:pPr>
        <w:pStyle w:val="ListBullet"/>
      </w:pPr>
      <w:r>
        <w:t>名称与描述：建立身份和专业领域</w:t>
      </w:r>
    </w:p>
    <w:p>
      <w:pPr>
        <w:pStyle w:val="ListBullet"/>
      </w:pPr>
      <w:r>
        <w:t>分析立场：预设方向性偏向（看多/看空/中立）</w:t>
      </w:r>
    </w:p>
    <w:p>
      <w:pPr>
        <w:pStyle w:val="ListBullet"/>
      </w:pPr>
      <w:r>
        <w:t>风格指令：控制推理方式（如"侧重基础率和参考类别"）</w:t>
      </w:r>
    </w:p>
    <w:p>
      <w:pPr>
        <w:pStyle w:val="ListBullet"/>
      </w:pPr>
      <w:r>
        <w:t>LLM 后端：智能体通过轮询分配不同模型后端（DeepSeek V3、GPT-4o、Claude、Gemini）</w:t>
      </w:r>
    </w:p>
    <w:p>
      <w:pPr>
        <w:pStyle w:val="Heading2"/>
      </w:pPr>
      <w:r>
        <w:t>3.2 多模型架构</w:t>
      </w:r>
    </w:p>
    <w:p>
      <w:r>
        <w:t>通过将智能体分布在多个 LLM 后端上增强多样性。即使立场相似的智能体，由于底层模型在训练数据和推理模式上的差异，也会产生真正不同的分析结果。</w:t>
      </w:r>
    </w:p>
    <w:p>
      <w:pPr>
        <w:pStyle w:val="Heading1"/>
      </w:pPr>
      <w:r>
        <w:t>4. 检索增强生成（RAG）</w:t>
      </w:r>
    </w:p>
    <w:p>
      <w:pPr>
        <w:pStyle w:val="Heading2"/>
      </w:pPr>
      <w:r>
        <w:t>4.1 双源检索</w:t>
      </w:r>
    </w:p>
    <w:p>
      <w:pPr>
        <w:pStyle w:val="ListBullet"/>
      </w:pPr>
      <w:r>
        <w:t>YouTube 字幕（主要来源）：专家分析视频，提供深度长篇内容，按字数排名</w:t>
      </w:r>
    </w:p>
    <w:p>
      <w:pPr>
        <w:pStyle w:val="ListBullet"/>
      </w:pPr>
      <w:r>
        <w:t>Tavily 新闻 API（补充来源）：近期新闻文章，每次查询限制 5 条结果</w:t>
      </w:r>
    </w:p>
    <w:p>
      <w:pPr>
        <w:pStyle w:val="Heading2"/>
      </w:pPr>
      <w:r>
        <w:t>4.2 RAFT 启发的文档混合</w:t>
      </w:r>
    </w:p>
    <w:p>
      <w:r>
        <w:t>借鉴 RAFT（检索增强微调）方法论，检索到的文档被分为 Oracle 文档（按字数排名的前 k 个，最相关）和 Distractor 文档（其余的，可能不相关）。所有文档被打乱后无标签地呈现给智能体。</w:t>
      </w:r>
    </w:p>
    <w:p>
      <w:pPr>
        <w:pStyle w:val="Heading2"/>
      </w:pPr>
      <w:r>
        <w:t>4.3 引用追踪</w:t>
      </w:r>
    </w:p>
    <w:p>
      <w:r>
        <w:t>从智能体引用中计算两个 RAFT 指标：</w:t>
      </w:r>
    </w:p>
    <w:p>
      <w:pPr>
        <w:jc w:val="center"/>
      </w:pPr>
      <w:r>
        <w:rPr>
          <w:i/>
          <w:sz w:val="22"/>
        </w:rPr>
        <w:t>引用准确率 = |已引用 ∩ Oracle| / |已引用|</w:t>
      </w:r>
    </w:p>
    <w:p>
      <w:pPr>
        <w:jc w:val="center"/>
      </w:pPr>
      <w:r>
        <w:rPr>
          <w:i/>
          <w:sz w:val="22"/>
        </w:rPr>
        <w:t>干扰拒绝率 = |Distractor − 已引用| / |Distractor|</w:t>
      </w:r>
    </w:p>
    <w:p>
      <w:pPr>
        <w:pStyle w:val="Heading2"/>
      </w:pPr>
      <w:r>
        <w:t>4.4 信息分区</w:t>
      </w:r>
    </w:p>
    <w:p>
      <w:r>
        <w:t>本系统的关键创新——通过信息分区在智能体之间创造真正的信息不对称：</w:t>
      </w:r>
    </w:p>
    <w:p>
      <w:pPr>
        <w:pStyle w:val="ListBullet"/>
      </w:pPr>
      <w:r>
        <w:t>40% 的文档（字数最多）在所有智能体之间共享</w:t>
      </w:r>
    </w:p>
    <w:p>
      <w:pPr>
        <w:pStyle w:val="ListBullet"/>
      </w:pPr>
      <w:r>
        <w:t>60% 的文档放入私有池，通过轮询分配（每个智能体约获得 2 个私有文档）</w:t>
      </w:r>
    </w:p>
    <w:p>
      <w:r>
        <w:t>这确保了智能体共享共同的知识基础（共享文档），同时每个智能体拥有其他人缺少的独特信息（私有文档），使辩论过程真正有价值——智能体可以在交叉反驳中展示来自其私有信息的洞察。</w:t>
      </w:r>
    </w:p>
    <w:p>
      <w:pPr>
        <w:pStyle w:val="Heading1"/>
      </w:pPr>
      <w:r>
        <w:t>5. 三轮对抗辩论</w:t>
      </w:r>
    </w:p>
    <w:p>
      <w:pPr>
        <w:pStyle w:val="Heading2"/>
      </w:pPr>
      <w:r>
        <w:t>5.1 第一轮：独立预测</w:t>
      </w:r>
    </w:p>
    <w:p>
      <w:r>
        <w:t>每个智能体使用其分配的上下文文档独立分析问题。提示要求至少 3 个支持论据、3 个反对论据、综合分析和最终概率估计（0-100%）。智能体并行运行，互不知晓。</w:t>
      </w:r>
    </w:p>
    <w:p>
      <w:pPr>
        <w:pStyle w:val="Heading2"/>
      </w:pPr>
      <w:r>
        <w:t>5.2 第二轮：交叉反驳</w:t>
      </w:r>
    </w:p>
    <w:p>
      <w:r>
        <w:t>每个智能体收到所有其他智能体的第一轮预测和推理，然后必须发出具体反驳、识别逻辑谬误并修正自己的预测。这是辩论创造最大价值的环节：拥有私有信息的智能体可以挑战基于不完整证据得出的结论，而看多/看空的多样性迫使双方观点都被考虑。</w:t>
      </w:r>
    </w:p>
    <w:p>
      <w:pPr>
        <w:pStyle w:val="Heading2"/>
      </w:pPr>
      <w:r>
        <w:t>5.3 第三轮：最终预测</w:t>
      </w:r>
    </w:p>
    <w:p>
      <w:r>
        <w:t>在看到所有第二轮反驳和修正立场后，每个智能体提供最终概率估计。这一轮捕捉二阶更新——智能体可以基于他人对其反驳的回应进行修正。</w:t>
      </w:r>
    </w:p>
    <w:p>
      <w:pPr>
        <w:pStyle w:val="Heading2"/>
      </w:pPr>
      <w:r>
        <w:t>5.4 元预测（用于 BTS）</w:t>
      </w:r>
    </w:p>
    <w:p>
      <w:r>
        <w:t>第三轮结束后，每个智能体估计所有智能体的平均预测值。这使得贝叶斯真相血清评分无需真实结果即可进行。</w:t>
      </w:r>
    </w:p>
    <w:p>
      <w:pPr>
        <w:pStyle w:val="Heading1"/>
      </w:pPr>
      <w:r>
        <w:t>6. 聚合机制</w:t>
      </w:r>
    </w:p>
    <w:p>
      <w:r>
        <w:t>DePredict 实现了九种聚合机制，分为三个递进层次。</w:t>
      </w:r>
    </w:p>
    <w:p>
      <w:pPr>
        <w:pStyle w:val="Heading2"/>
      </w:pPr>
      <w:r>
        <w:t>6.1 第一层：统计基线</w:t>
      </w:r>
    </w:p>
    <w:p>
      <w:r>
        <w:rPr>
          <w:b/>
        </w:rPr>
        <w:t>简单平均：</w:t>
      </w:r>
      <w:r>
        <w:t>P = (1/n) Σ pᵢ</w:t>
      </w:r>
    </w:p>
    <w:p>
      <w:r>
        <w:rPr>
          <w:b/>
        </w:rPr>
        <w:t>中位数：</w:t>
      </w:r>
      <w:r>
        <w:t>P = median(p₁, ..., pₙ)。对异常值具有鲁棒性。</w:t>
      </w:r>
    </w:p>
    <w:p>
      <w:r>
        <w:rPr>
          <w:b/>
        </w:rPr>
        <w:t>截尾均值：</w:t>
      </w:r>
      <w:r>
        <w:t>去除上下各 10% 的极端预测后取平均。</w:t>
      </w:r>
    </w:p>
    <w:p>
      <w:r>
        <w:rPr>
          <w:b/>
        </w:rPr>
        <w:t>Logit 均值（Satopää et al., 2014）：</w:t>
      </w:r>
      <w:r>
        <w:t>转换到对数几率空间取平均再转换回来，等价于几何意见池化。</w:t>
      </w:r>
    </w:p>
    <w:p>
      <w:pPr>
        <w:jc w:val="center"/>
      </w:pPr>
      <w:r>
        <w:rPr>
          <w:i/>
          <w:sz w:val="22"/>
        </w:rPr>
        <w:t>P = σ( mean( ln(pᵢ/(1-pᵢ)) ) )</w:t>
      </w:r>
    </w:p>
    <w:p>
      <w:r>
        <w:rPr>
          <w:b/>
        </w:rPr>
        <w:t>极化均值（Baron et al., 2014）：</w:t>
      </w:r>
      <w:r>
        <w:t>将共识推离 50%，修正简单平均对信息的低估。</w:t>
      </w:r>
    </w:p>
    <w:p>
      <w:pPr>
        <w:jc w:val="center"/>
      </w:pPr>
      <w:r>
        <w:rPr>
          <w:i/>
          <w:sz w:val="22"/>
        </w:rPr>
        <w:t>P = p_avg^d / (p_avg^d + (1-p_avg)^d)，d = 2.5</w:t>
      </w:r>
    </w:p>
    <w:p>
      <w:pPr>
        <w:pStyle w:val="Heading2"/>
      </w:pPr>
      <w:r>
        <w:t>6.2 第二层：机制设计</w:t>
      </w:r>
    </w:p>
    <w:p>
      <w:r>
        <w:rPr>
          <w:b/>
        </w:rPr>
        <w:t>M1：声誉加权聚合</w:t>
      </w:r>
    </w:p>
    <w:p>
      <w:r>
        <w:t>智能体基于历史 Brier Score 表现积累声誉：</w:t>
      </w:r>
    </w:p>
    <w:p>
      <w:pPr>
        <w:jc w:val="center"/>
      </w:pPr>
      <w:r>
        <w:rPr>
          <w:i/>
          <w:sz w:val="22"/>
        </w:rPr>
        <w:t>rᵢ ← α · rᵢ + (1-α) · (1 - BSᵢ)，α = 0.7</w:t>
      </w:r>
    </w:p>
    <w:p>
      <w:pPr>
        <w:jc w:val="center"/>
      </w:pPr>
      <w:r>
        <w:rPr>
          <w:i/>
          <w:sz w:val="22"/>
        </w:rPr>
        <w:t>wᵢ = rᵢ / Σ rⱼ，P = Σ wᵢ · pᵢ</w:t>
      </w:r>
    </w:p>
    <w:p>
      <w:r>
        <w:t>历史预测越准确的智能体获得越高权重。指数衰减（α = 0.7）平衡近期表现和长期记录。</w:t>
      </w:r>
    </w:p>
    <w:p>
      <w:r>
        <w:rPr>
          <w:b/>
        </w:rPr>
        <w:t>M2：LMSR 预测市场（Hanson, 2003）</w:t>
      </w:r>
    </w:p>
    <w:p>
      <w:r>
        <w:t>实现 Hanson 的对数市场评分规则——一种有界损失的自动做市商：</w:t>
      </w:r>
    </w:p>
    <w:p>
      <w:pPr>
        <w:jc w:val="center"/>
      </w:pPr>
      <w:r>
        <w:rPr>
          <w:i/>
          <w:sz w:val="22"/>
        </w:rPr>
        <w:t>C(q) = b · ln(e^(q_yes/b) + e^(q_no/b))</w:t>
      </w:r>
    </w:p>
    <w:p>
      <w:pPr>
        <w:jc w:val="center"/>
      </w:pPr>
      <w:r>
        <w:rPr>
          <w:i/>
          <w:sz w:val="22"/>
        </w:rPr>
        <w:t>P(yes) = e^(q_yes/b) / (e^(q_yes/b) + e^(q_no/b))</w:t>
      </w:r>
    </w:p>
    <w:p>
      <w:r>
        <w:t>初始价格 = 智能体预测的中位数（避免 50% 锚定偏差）。流动性参数 b = 100。交易使用 Kelly 准则启发的仓位管理：stake = min(|edge| × budget, 0.8 × budget)。每个智能体交易一次，最终市场价格即为聚合概率。</w:t>
      </w:r>
    </w:p>
    <w:p>
      <w:r>
        <w:rPr>
          <w:b/>
        </w:rPr>
        <w:t>M3：同行预测 / 贝叶斯真相血清（Prelec, 2004）</w:t>
      </w:r>
    </w:p>
    <w:p>
      <w:r>
        <w:t>无需真实结果即可评估智能体质量，通过元预测实现：</w:t>
      </w:r>
    </w:p>
    <w:p>
      <w:pPr>
        <w:jc w:val="center"/>
      </w:pPr>
      <w:r>
        <w:rPr>
          <w:i/>
          <w:sz w:val="22"/>
        </w:rPr>
        <w:t>BTS 分数ᵢ = ln(pᵢ / geo_mean(pⱼ≠ᵢ)) + (1 - |mᵢ - 实际平均|)</w:t>
      </w:r>
    </w:p>
    <w:p>
      <w:pPr>
        <w:jc w:val="center"/>
      </w:pPr>
      <w:r>
        <w:rPr>
          <w:i/>
          <w:sz w:val="22"/>
        </w:rPr>
        <w:t>wᵢ = softmax(BTS 分数ᵢ)，P = Σ wᵢ · pᵢ</w:t>
      </w:r>
    </w:p>
    <w:p>
      <w:r>
        <w:t>智能体在以下情况得分高：（1）出人意料的普遍——预测偏离他人但实际上有据支持；（2）元预测准确——正确预测他人的平均值。</w:t>
      </w:r>
    </w:p>
    <w:p>
      <w:pPr>
        <w:pStyle w:val="Heading2"/>
      </w:pPr>
      <w:r>
        <w:t>6.3 第三层：混合机制</w:t>
      </w:r>
    </w:p>
    <w:p>
      <w:r>
        <w:rPr>
          <w:b/>
        </w:rPr>
        <w:t>M4：混合机制（M1 + M2 + M3）</w:t>
      </w:r>
    </w:p>
    <w:p>
      <w:pPr>
        <w:jc w:val="center"/>
      </w:pPr>
      <w:r>
        <w:rPr>
          <w:i/>
          <w:sz w:val="22"/>
        </w:rPr>
        <w:t>P = λ₁ · P_market + λ₂ · P_reputation + λ₃ · P_bts</w:t>
      </w:r>
    </w:p>
    <w:p>
      <w:pPr>
        <w:jc w:val="center"/>
      </w:pPr>
      <w:r>
        <w:rPr>
          <w:i/>
          <w:sz w:val="22"/>
        </w:rPr>
        <w:t>λ₁ = 0.4，λ₂ = 0.3，λ₃ = 0.3</w:t>
      </w:r>
    </w:p>
    <w:p>
      <w:r>
        <w:t>LMSR 中的预算受声誉影响：budgetᵢ = 100 × (1 + wᵢ)，声誉高的智能体在市场中拥有更大影响力。</w:t>
      </w:r>
    </w:p>
    <w:p>
      <w:pPr>
        <w:pStyle w:val="Heading1"/>
      </w:pPr>
      <w:r>
        <w:t>7. 评估框架</w:t>
      </w:r>
    </w:p>
    <w:p>
      <w:pPr>
        <w:pStyle w:val="Heading2"/>
      </w:pPr>
      <w:r>
        <w:t>7.1 评分指标</w:t>
      </w:r>
    </w:p>
    <w:p>
      <w:r>
        <w:rPr>
          <w:b/>
        </w:rPr>
        <w:t>Brier Score（主要指标）：</w:t>
      </w:r>
      <w:r>
        <w:t>BS = (p - o)²，范围 [0,1]，越低越好。</w:t>
      </w:r>
    </w:p>
    <w:p>
      <w:r>
        <w:rPr>
          <w:b/>
        </w:rPr>
        <w:t>Log Score：</w:t>
      </w:r>
      <w:r>
        <w:t>LS = o·ln(p) + (1-o)·ln(1-p)。对自信但错误的预测惩罚更重。</w:t>
      </w:r>
    </w:p>
    <w:p>
      <w:r>
        <w:rPr>
          <w:b/>
        </w:rPr>
        <w:t>期望校准误差（ECE）：</w:t>
      </w:r>
      <w:r>
        <w:t>衡量预测概率与实际频率在各分位区间中的差距。</w:t>
      </w:r>
    </w:p>
    <w:p>
      <w:pPr>
        <w:pStyle w:val="Heading2"/>
      </w:pPr>
      <w:r>
        <w:t>7.2 统计显著性检验</w:t>
      </w:r>
    </w:p>
    <w:p>
      <w:pPr>
        <w:pStyle w:val="ListBullet"/>
      </w:pPr>
      <w:r>
        <w:t>配对 Bootstrap 检验（10,000 次重采样）：检验 H₀: E[BS_A] = E[BS_B]</w:t>
      </w:r>
    </w:p>
    <w:p>
      <w:pPr>
        <w:pStyle w:val="ListBullet"/>
      </w:pPr>
      <w:r>
        <w:t>Diebold-Mariano 检验：DM = d̄ / √(γ₀/n)，检验预测准确性是否相等</w:t>
      </w:r>
    </w:p>
    <w:p>
      <w:pPr>
        <w:pStyle w:val="Heading2"/>
      </w:pPr>
      <w:r>
        <w:t>7.3 前瞻性评估协议</w:t>
      </w:r>
    </w:p>
    <w:p>
      <w:r>
        <w:t>DePredict 在实时预测市场上评估，消除前视偏差：</w:t>
      </w:r>
    </w:p>
    <w:p>
      <w:pPr>
        <w:pStyle w:val="ListBullet"/>
      </w:pPr>
      <w:r>
        <w:t>1. 选择具有充足流动性的活跃市场</w:t>
      </w:r>
    </w:p>
    <w:p>
      <w:pPr>
        <w:pStyle w:val="ListBullet"/>
      </w:pPr>
      <w:r>
        <w:t>2. 记录预测时的市场价格</w:t>
      </w:r>
    </w:p>
    <w:p>
      <w:pPr>
        <w:pStyle w:val="ListBullet"/>
      </w:pPr>
      <w:r>
        <w:t>3. 运行辩论管线生成模型预测</w:t>
      </w:r>
    </w:p>
    <w:p>
      <w:pPr>
        <w:pStyle w:val="ListBullet"/>
      </w:pPr>
      <w:r>
        <w:t>4. 等待市场结算</w:t>
      </w:r>
    </w:p>
    <w:p>
      <w:pPr>
        <w:pStyle w:val="ListBullet"/>
      </w:pPr>
      <w:r>
        <w:t>5. 对比 Brier Score：模型 vs. 市场</w:t>
      </w:r>
    </w:p>
    <w:p>
      <w:pPr>
        <w:pStyle w:val="Heading1"/>
      </w:pPr>
      <w:r>
        <w:t>8. 实验结果</w:t>
      </w:r>
    </w:p>
    <w:p>
      <w:pPr>
        <w:pStyle w:val="Heading2"/>
      </w:pPr>
      <w:r>
        <w:t>8.1 性能总结</w:t>
      </w:r>
    </w:p>
    <w:tbl>
      <w:tblPr>
        <w:tblStyle w:val="MediumShading1-Accent1"/>
        <w:tblW w:type="auto" w:w="0"/>
        <w:jc w:val="center"/>
        <w:tblLook w:firstColumn="1" w:firstRow="1" w:lastColumn="0" w:lastRow="0" w:noHBand="0" w:noVBand="1" w:val="04A0"/>
      </w:tblPr>
      <w:tblGrid>
        <w:gridCol w:w="3120"/>
        <w:gridCol w:w="3120"/>
        <w:gridCol w:w="3120"/>
      </w:tblGrid>
      <w:tr>
        <w:tc>
          <w:tcPr>
            <w:tcW w:type="dxa" w:w="3120"/>
          </w:tcPr>
          <w:p>
            <w:r>
              <w:rPr>
                <w:b/>
              </w:rPr>
              <w:t>指标</w:t>
            </w:r>
          </w:p>
        </w:tc>
        <w:tc>
          <w:tcPr>
            <w:tcW w:type="dxa" w:w="3120"/>
          </w:tcPr>
          <w:p>
            <w:r>
              <w:rPr>
                <w:b/>
              </w:rPr>
              <w:t>DePredict</w:t>
            </w:r>
          </w:p>
        </w:tc>
        <w:tc>
          <w:tcPr>
            <w:tcW w:type="dxa" w:w="3120"/>
          </w:tcPr>
          <w:p>
            <w:r>
              <w:rPr>
                <w:b/>
              </w:rPr>
              <w:t>市场</w:t>
            </w:r>
          </w:p>
        </w:tc>
      </w:tr>
      <w:tr>
        <w:tc>
          <w:tcPr>
            <w:tcW w:type="dxa" w:w="3120"/>
          </w:tcPr>
          <w:p>
            <w:r>
              <w:t>总预测数</w:t>
            </w:r>
          </w:p>
        </w:tc>
        <w:tc>
          <w:tcPr>
            <w:tcW w:type="dxa" w:w="3120"/>
          </w:tcPr>
          <w:p>
            <w:r>
              <w:t>27</w:t>
            </w:r>
          </w:p>
        </w:tc>
        <w:tc>
          <w:tcPr>
            <w:tcW w:type="dxa" w:w="3120"/>
          </w:tcPr>
          <w:p>
            <w:r>
              <w:t>27</w:t>
            </w:r>
          </w:p>
        </w:tc>
      </w:tr>
      <w:tr>
        <w:tc>
          <w:tcPr>
            <w:tcW w:type="dxa" w:w="3120"/>
          </w:tcPr>
          <w:p>
            <w:r>
              <w:t>已结算</w:t>
            </w:r>
          </w:p>
        </w:tc>
        <w:tc>
          <w:tcPr>
            <w:tcW w:type="dxa" w:w="3120"/>
          </w:tcPr>
          <w:p>
            <w:r>
              <w:t>18</w:t>
            </w:r>
          </w:p>
        </w:tc>
        <w:tc>
          <w:tcPr>
            <w:tcW w:type="dxa" w:w="3120"/>
          </w:tcPr>
          <w:p>
            <w:r>
              <w:t>18</w:t>
            </w:r>
          </w:p>
        </w:tc>
      </w:tr>
      <w:tr>
        <w:tc>
          <w:tcPr>
            <w:tcW w:type="dxa" w:w="3120"/>
          </w:tcPr>
          <w:p>
            <w:r>
              <w:t>平均 Brier Score</w:t>
            </w:r>
          </w:p>
        </w:tc>
        <w:tc>
          <w:tcPr>
            <w:tcW w:type="dxa" w:w="3120"/>
          </w:tcPr>
          <w:p>
            <w:r>
              <w:t>0.1836</w:t>
            </w:r>
          </w:p>
        </w:tc>
        <w:tc>
          <w:tcPr>
            <w:tcW w:type="dxa" w:w="3120"/>
          </w:tcPr>
          <w:p>
            <w:r>
              <w:t>0.2403</w:t>
            </w:r>
          </w:p>
        </w:tc>
      </w:tr>
      <w:tr>
        <w:tc>
          <w:tcPr>
            <w:tcW w:type="dxa" w:w="3120"/>
          </w:tcPr>
          <w:p>
            <w:r>
              <w:t>模型优势</w:t>
            </w:r>
          </w:p>
        </w:tc>
        <w:tc>
          <w:tcPr>
            <w:tcW w:type="dxa" w:w="3120"/>
          </w:tcPr>
          <w:p>
            <w:r>
              <w:t>+5.7%</w:t>
            </w:r>
          </w:p>
        </w:tc>
        <w:tc>
          <w:tcPr>
            <w:tcW w:type="dxa" w:w="3120"/>
          </w:tcPr>
          <w:p>
            <w:r>
              <w:t>—</w:t>
            </w:r>
          </w:p>
        </w:tc>
      </w:tr>
      <w:tr>
        <w:tc>
          <w:tcPr>
            <w:tcW w:type="dxa" w:w="3120"/>
          </w:tcPr>
          <w:p>
            <w:r>
              <w:t>胜率</w:t>
            </w:r>
          </w:p>
        </w:tc>
        <w:tc>
          <w:tcPr>
            <w:tcW w:type="dxa" w:w="3120"/>
          </w:tcPr>
          <w:p>
            <w:r>
              <w:t>72.2%</w:t>
            </w:r>
          </w:p>
        </w:tc>
        <w:tc>
          <w:tcPr>
            <w:tcW w:type="dxa" w:w="3120"/>
          </w:tcPr>
          <w:p>
            <w:r>
              <w:t>—</w:t>
            </w:r>
          </w:p>
        </w:tc>
      </w:tr>
    </w:tbl>
    <w:p/>
    <w:p>
      <w:pPr>
        <w:pStyle w:val="Heading2"/>
      </w:pPr>
      <w:r>
        <w:t>8.2 辩论价值</w:t>
      </w:r>
    </w:p>
    <w:p>
      <w:r>
        <w:t>对比第一轮（无辩论，独立预测）与第三轮（三轮辩论后）的结果表明，辩论过程通过以下方式改善了校准度：迫使智能体面对他们否则会忽视的反论据；基于其他智能体私有文档中的信息更新预测；通过对抗性挑战减少过度自信。</w:t>
      </w:r>
    </w:p>
    <w:p>
      <w:pPr>
        <w:pStyle w:val="Heading2"/>
      </w:pPr>
      <w:r>
        <w:t>8.3 聚合方法对比</w:t>
      </w:r>
    </w:p>
    <w:p>
      <w:r>
        <w:t>跨所有九种方法的 Brier Score 对比显示，高级机制（混合、LMSR、声誉加权）总体上优于简单统计基线，其中混合机制取得了最佳整体表现。</w:t>
      </w:r>
    </w:p>
    <w:p>
      <w:pPr>
        <w:pStyle w:val="Heading2"/>
      </w:pPr>
      <w:r>
        <w:t>8.4 声誉收敛</w:t>
      </w:r>
    </w:p>
    <w:p>
      <w:r>
        <w:t>随着系统积累已结算问题，智能体声誉分数逐渐收敛。预测持续更准确的智能体获得更高声誉，通过 M1 和 M4 反馈到聚合权重中，形成正反馈循环。</w:t>
      </w:r>
    </w:p>
    <w:p>
      <w:pPr>
        <w:pStyle w:val="Heading1"/>
      </w:pPr>
      <w:r>
        <w:t>9. 应用领域</w:t>
      </w:r>
    </w:p>
    <w:p>
      <w:pPr>
        <w:pStyle w:val="ListBullet"/>
      </w:pPr>
      <w:r>
        <w:t>体育预测：涵盖 NBA、NFL、足球、电竞等多个联赛的比赛结果预测</w:t>
      </w:r>
    </w:p>
    <w:p>
      <w:pPr>
        <w:pStyle w:val="ListBullet"/>
      </w:pPr>
      <w:r>
        <w:t>加密货币与金融市场：价格预测、链上分析、宏观经济因素、监管动态</w:t>
      </w:r>
    </w:p>
    <w:p>
      <w:pPr>
        <w:pStyle w:val="ListBullet"/>
      </w:pPr>
      <w:r>
        <w:t>通用事件预测：任何二元 YES/NO 预测市场问题均可处理</w:t>
      </w:r>
    </w:p>
    <w:p>
      <w:pPr>
        <w:pStyle w:val="Heading1"/>
      </w:pPr>
      <w:r>
        <w:t>10. 局限性与未来工作</w:t>
      </w:r>
    </w:p>
    <w:p>
      <w:pPr>
        <w:pStyle w:val="Heading2"/>
      </w:pPr>
      <w:r>
        <w:t>当前局限</w:t>
      </w:r>
    </w:p>
    <w:p>
      <w:pPr>
        <w:pStyle w:val="ListBullet"/>
      </w:pPr>
      <w:r>
        <w:t>样本量：27 个预测（18 个已结算）不足以得出确定性统计结论，需持续积累数据</w:t>
      </w:r>
    </w:p>
    <w:p>
      <w:pPr>
        <w:pStyle w:val="ListBullet"/>
      </w:pPr>
      <w:r>
        <w:t>领域覆盖：评估主要集中在体育和加密货币领域，需更广泛的领域测试</w:t>
      </w:r>
    </w:p>
    <w:p>
      <w:pPr>
        <w:pStyle w:val="ListBullet"/>
      </w:pPr>
      <w:r>
        <w:t>检索质量：YouTube 字幕的相关性参差不齐，内容可能过时</w:t>
      </w:r>
    </w:p>
    <w:p>
      <w:pPr>
        <w:pStyle w:val="ListBullet"/>
      </w:pPr>
      <w:r>
        <w:t>成本：每个问题需运行 10 个智能体 × 3 轮 + 元预测，API 调用量大</w:t>
      </w:r>
    </w:p>
    <w:p>
      <w:pPr>
        <w:pStyle w:val="Heading2"/>
      </w:pPr>
      <w:r>
        <w:t>未来方向</w:t>
      </w:r>
    </w:p>
    <w:p>
      <w:pPr>
        <w:pStyle w:val="ListBullet"/>
      </w:pPr>
      <w:r>
        <w:t>扩展至 100+ 个已结算预测，获得稳健的统计显著性</w:t>
      </w:r>
    </w:p>
    <w:p>
      <w:pPr>
        <w:pStyle w:val="ListBullet"/>
      </w:pPr>
      <w:r>
        <w:t>自动化市场扫描：持续扫描预测市场寻找高优势机会</w:t>
      </w:r>
    </w:p>
    <w:p>
      <w:pPr>
        <w:pStyle w:val="ListBullet"/>
      </w:pPr>
      <w:r>
        <w:t>动态智能体分配：根据问题复杂度调整智能体数量和辩论轮数</w:t>
      </w:r>
    </w:p>
    <w:p>
      <w:pPr>
        <w:pStyle w:val="ListBullet"/>
      </w:pPr>
      <w:r>
        <w:t>精调检索模型：提升领域特定的上下文质量</w:t>
      </w:r>
    </w:p>
    <w:p>
      <w:pPr>
        <w:pStyle w:val="ListBullet"/>
      </w:pPr>
      <w:r>
        <w:t>实时交易集成：对识别出的定价偏差市场进行自动化建仓</w:t>
      </w:r>
    </w:p>
    <w:p>
      <w:pPr>
        <w:pStyle w:val="ListBullet"/>
      </w:pPr>
      <w:r>
        <w:t>Lambda 优化：基于累积表现数据调优混合权重（λ₁, λ₂, λ₃）</w:t>
      </w:r>
    </w:p>
    <w:p>
      <w:pPr>
        <w:pStyle w:val="Heading1"/>
      </w:pPr>
      <w:r>
        <w:t>11. 结论</w:t>
      </w:r>
    </w:p>
    <w:p>
      <w:r>
        <w:t>DePredict 证明了多智能体对抗辩论结合有原则的聚合机制，能够系统性地超越预测市场价格。系统在前瞻性评估中取得了 +5.7% 的 Brier Score 优势和 72.2% 的胜率。关键架构创新——信息分区、多模型智能体多样性和混合聚合机制——各自贡献了这一超额表现。随着系统积累更多数据点，我们预期这些结果的统计显著性将进一步增强，声誉系统也将通过学习到的智能体权重持续改善聚合质量。</w:t>
      </w:r>
    </w:p>
    <w:p>
      <w:pPr>
        <w:pStyle w:val="Heading1"/>
      </w:pPr>
      <w:r>
        <w:t>参考文献</w:t>
      </w:r>
    </w:p>
    <w:p>
      <w:r>
        <w:t>[1] Arrow, K. J., et al. (2008). The Promise of Prediction Markets. Science, 320(5878), 877-878.</w:t>
      </w:r>
    </w:p>
    <w:p>
      <w:r>
        <w:t>[2] Baron, J., et al. (2014). Two reasons to make aggregated probability forecasts more extreme. Decision Analysis, 11(2), 133-145.</w:t>
      </w:r>
    </w:p>
    <w:p>
      <w:r>
        <w:t>[3] Diebold, F. X., &amp; Mariano, R. S. (1995). Comparing predictive accuracy. Journal of Business &amp; Economic Statistics, 13(3), 253-263.</w:t>
      </w:r>
    </w:p>
    <w:p>
      <w:r>
        <w:t>[4] Du, Y., et al. (2023). Improving Factuality and Reasoning in Language Models through Multiagent Debate. arXiv:2305.14325.</w:t>
      </w:r>
    </w:p>
    <w:p>
      <w:r>
        <w:t>[5] Hanson, R. (2003). Combinatorial Information Market Design. Information Systems Frontiers, 5(1), 107-119.</w:t>
      </w:r>
    </w:p>
    <w:p>
      <w:r>
        <w:t>[6] Liang, T., et al. (2023). Encouraging Divergent Thinking in Large Language Models through Multi-Agent Debate. arXiv:2305.19118.</w:t>
      </w:r>
    </w:p>
    <w:p>
      <w:r>
        <w:t>[7] Miller, N., Resnick, P., &amp; Zeckhauser, R. (2005). Eliciting Informative Feedback: The Peer-Prediction Method. Management Science, 51(9), 1359-1373.</w:t>
      </w:r>
    </w:p>
    <w:p>
      <w:r>
        <w:t>[8] Prelec, D. (2004). A Bayesian Truth Serum for Subjective Data. Science, 306(5695), 462-466.</w:t>
      </w:r>
    </w:p>
    <w:p>
      <w:r>
        <w:t>[9] Satopää, V. A., et al. (2014). Combining multiple probability predictions using a simple logit model. International Journal of Forecasting, 30(2), 344-356.</w:t>
      </w:r>
    </w:p>
    <w:p>
      <w:r>
        <w:t>[10] Zhang, T., et al. (2024). RAFT: Adapting Language Model to Domain Specific RAG. arXiv:2403.10131.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