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jc w:val="center"/>
      </w:pPr>
      <w:r>
        <w:t>DePredict</w:t>
      </w:r>
    </w:p>
    <w:p>
      <w:pPr>
        <w:jc w:val="center"/>
      </w:pPr>
      <w:r>
        <w:rPr>
          <w:b w:val="0"/>
          <w:i/>
          <w:sz w:val="28"/>
        </w:rPr>
        <w:t>Multi-Agent Adversarial Debate for</w:t>
      </w:r>
      <w:r>
        <w:rPr>
          <w:b w:val="0"/>
          <w:i/>
          <w:sz w:val="28"/>
        </w:rPr>
        <w:br w:type="textWrapping"/>
      </w:r>
      <w:r>
        <w:rPr>
          <w:b w:val="0"/>
          <w:i/>
          <w:sz w:val="28"/>
        </w:rPr>
        <w:t>Prediction Market Forecasting</w:t>
      </w:r>
    </w:p>
    <w:p/>
    <w:p>
      <w:pPr>
        <w:jc w:val="center"/>
      </w:pPr>
      <w:r>
        <w:rPr>
          <w:b w:val="0"/>
          <w:i w:val="0"/>
          <w:sz w:val="22"/>
        </w:rPr>
        <w:t>A Quantitative Framework Combining LLM Debate, Mechanism Design,</w:t>
      </w:r>
      <w:r>
        <w:rPr>
          <w:b w:val="0"/>
          <w:i w:val="0"/>
          <w:sz w:val="22"/>
        </w:rPr>
        <w:br w:type="textWrapping"/>
      </w:r>
      <w:r>
        <w:rPr>
          <w:b w:val="0"/>
          <w:i w:val="0"/>
          <w:sz w:val="22"/>
        </w:rPr>
        <w:t>and RAG for Outperforming Prediction Markets</w:t>
      </w:r>
    </w:p>
    <w:p/>
    <w:p>
      <w:pPr>
        <w:jc w:val="center"/>
      </w:pPr>
      <w:r>
        <w:rPr>
          <w:b w:val="0"/>
          <w:i w:val="0"/>
          <w:sz w:val="20"/>
        </w:rPr>
        <w:t>Version 1.0  |  March 2026</w:t>
      </w:r>
    </w:p>
    <w:p/>
    <w:p/>
    <w:p>
      <w:pPr>
        <w:pStyle w:val="3"/>
      </w:pPr>
      <w:r>
        <w:t>Abstract</w:t>
      </w:r>
    </w:p>
    <w:p>
      <w:r>
        <w:t>Prediction markets are widely regarded as one of the most efficient mechanisms for aggregating dispersed information into probability estimates. However, market prices can deviate from true probabilities due to thin liquidity, behavioral biases, and information asymmetry among participants. We present DePredict, a multi-agent AI forecasting system that leverages adversarial debate among LLM-based analysts, retrieval-augmented generation (RAG) with RAFT-inspired document mixing, and a suite of nine aggregation mechanisms drawn from mechanism design theory. In prospective evaluation across 27 prediction market questions (18 resolved), DePredict achieves a Brier Score of 0.1836 compared to the market's 0.2403, representing a +5.7% edge with a 72.2% win rate. Our system demonstrates that structured cognitive conflict among AI agents, combined with principled aggregation, can systematically identify mispriced prediction markets.</w:t>
      </w:r>
    </w:p>
    <w:p>
      <w:pPr>
        <w:pStyle w:val="3"/>
      </w:pPr>
      <w:r>
        <w:t>1. Introduction</w:t>
      </w:r>
    </w:p>
    <w:p>
      <w:pPr>
        <w:pStyle w:val="4"/>
      </w:pPr>
      <w:r>
        <w:t>1.1 Problem Statement</w:t>
      </w:r>
    </w:p>
    <w:p>
      <w:r>
        <w:t>Prediction markets (e.g., Polymarket, Kalshi, Manifold) allow participants to trade contracts on future events, with prices reflecting collective probability estimates. While theoretically efficient, these markets suffer from several limitations:</w:t>
      </w:r>
    </w:p>
    <w:p>
      <w:pPr>
        <w:pStyle w:val="16"/>
      </w:pPr>
      <w:r>
        <w:t>Thin liquidity: Many markets have insufficient trading volume, leading to stale or inaccurate prices</w:t>
      </w:r>
    </w:p>
    <w:p>
      <w:pPr>
        <w:pStyle w:val="16"/>
      </w:pPr>
      <w:r>
        <w:t>Behavioral biases: Participants exhibit anchoring, herding, and overconfidence</w:t>
      </w:r>
    </w:p>
    <w:p>
      <w:pPr>
        <w:pStyle w:val="16"/>
      </w:pPr>
      <w:r>
        <w:t>Information fragmentation: No single participant has access to all relevant information</w:t>
      </w:r>
    </w:p>
    <w:p>
      <w:pPr>
        <w:pStyle w:val="16"/>
      </w:pPr>
      <w:r>
        <w:t>Slow price discovery: Markets may take time to incorporate newly available information</w:t>
      </w:r>
    </w:p>
    <w:p>
      <w:pPr>
        <w:pStyle w:val="4"/>
      </w:pPr>
      <w:r>
        <w:t>1.2 Our Approach</w:t>
      </w:r>
    </w:p>
    <w:p>
      <w:r>
        <w:t>DePredict addresses these limitations through a fundamentally different approach: instead of relying on human market participants, we assemble a panel of 10 AI analyst agents with diverse analytical stances and subject them to a structured 3-round adversarial debate. The key insight is that structured disagreement among information-asymmetric agents surfaces assumptions, challenges biases, and produces better-calibrated probability estimates than any single model or naive ensemble.</w:t>
      </w:r>
    </w:p>
    <w:p>
      <w:pPr>
        <w:pStyle w:val="4"/>
      </w:pPr>
      <w:r>
        <w:t>1.3 Contributions</w:t>
      </w:r>
    </w:p>
    <w:p>
      <w:pPr>
        <w:pStyle w:val="16"/>
      </w:pPr>
      <w:r>
        <w:t>A 3-round adversarial debate pipeline that demonstrably improves prediction accuracy over independent (no-debate) estimates</w:t>
      </w:r>
    </w:p>
    <w:p>
      <w:pPr>
        <w:pStyle w:val="16"/>
      </w:pPr>
      <w:r>
        <w:t>Information partitioning — a novel document distribution strategy that creates genuine information asymmetry among agents</w:t>
      </w:r>
    </w:p>
    <w:p>
      <w:pPr>
        <w:pStyle w:val="16"/>
      </w:pPr>
      <w:r>
        <w:t>Nine aggregation mechanisms spanning statistical baselines, market-based mechanisms (LMSR), and incentive-compatible scoring (BTS), with empirical comparison</w:t>
      </w:r>
    </w:p>
    <w:p>
      <w:pPr>
        <w:pStyle w:val="16"/>
      </w:pPr>
      <w:r>
        <w:t>RAFT-inspired citation tracking for evaluating RAG quality in adversarial settings</w:t>
      </w:r>
    </w:p>
    <w:p>
      <w:pPr>
        <w:pStyle w:val="16"/>
      </w:pPr>
      <w:r>
        <w:t>Prospective evaluation against live prediction market prices, demonstrating statistically significant outperformance</w:t>
      </w:r>
    </w:p>
    <w:p>
      <w:pPr>
        <w:pStyle w:val="3"/>
      </w:pPr>
      <w:r>
        <w:t>2. System Architecture</w:t>
      </w:r>
    </w:p>
    <w:p>
      <w:pPr>
        <w:pStyle w:val="4"/>
      </w:pPr>
      <w:r>
        <w:t>2.1 Overview</w:t>
      </w:r>
    </w:p>
    <w:p>
      <w:r>
        <w:t>DePredict operates as a pipeline with five stages:</w:t>
      </w:r>
    </w:p>
    <w:p>
      <w:pPr>
        <w:jc w:val="center"/>
      </w:pPr>
      <w:r>
        <w:rPr>
          <w:i/>
          <w:sz w:val="22"/>
        </w:rPr>
        <w:t>Question → RAG Retrieval → Information Partitioning → 3-Round Debate → Aggregation → Probability</w:t>
      </w:r>
    </w:p>
    <w:p>
      <w:r>
        <w:t>The system is deployed as a web application at depredict.org with a Vue.js frontend and Flask backend, orchestrated via Docker Compose with Caddy for HTTPS.</w:t>
      </w:r>
    </w:p>
    <w:p>
      <w:pPr>
        <w:pStyle w:val="3"/>
      </w:pPr>
      <w:r>
        <w:t>3. Agent Design</w:t>
      </w:r>
    </w:p>
    <w:p>
      <w:pPr>
        <w:pStyle w:val="4"/>
      </w:pPr>
      <w:r>
        <w:t>3.1 Persona Diversity</w:t>
      </w:r>
    </w:p>
    <w:p>
      <w:r>
        <w:t>The system employs 10 agents with deliberately diverse analytical frameworks:</w:t>
      </w:r>
    </w:p>
    <w:tbl>
      <w:tblPr>
        <w:tblStyle w:val="56"/>
        <w:tblW w:w="0" w:type="auto"/>
        <w:jc w:val="cente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Layout w:type="autofit"/>
        <w:tblCellMar>
          <w:top w:w="0" w:type="dxa"/>
          <w:left w:w="108" w:type="dxa"/>
          <w:bottom w:w="0" w:type="dxa"/>
          <w:right w:w="108" w:type="dxa"/>
        </w:tblCellMar>
      </w:tblPr>
      <w:tblGrid>
        <w:gridCol w:w="3120"/>
        <w:gridCol w:w="3120"/>
        <w:gridCol w:w="3120"/>
      </w:tblGrid>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rPr>
                <w:b/>
              </w:rPr>
              <w:t>Agent</w:t>
            </w:r>
          </w:p>
        </w:tc>
        <w:tc>
          <w:tcPr>
            <w:tcW w:w="3120" w:type="dxa"/>
          </w:tcPr>
          <w:p>
            <w:pPr>
              <w:spacing w:after="0"/>
            </w:pPr>
            <w:r>
              <w:rPr>
                <w:b/>
              </w:rPr>
              <w:t>Stance</w:t>
            </w:r>
          </w:p>
        </w:tc>
        <w:tc>
          <w:tcPr>
            <w:tcW w:w="3120" w:type="dxa"/>
          </w:tcPr>
          <w:p>
            <w:pPr>
              <w:spacing w:after="0"/>
            </w:pPr>
            <w:r>
              <w:rPr>
                <w:b/>
              </w:rPr>
              <w:t>Analytical Framework</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Agent 1-3</w:t>
            </w:r>
          </w:p>
        </w:tc>
        <w:tc>
          <w:tcPr>
            <w:tcW w:w="3120" w:type="dxa"/>
          </w:tcPr>
          <w:p>
            <w:pPr>
              <w:spacing w:after="0"/>
            </w:pPr>
            <w:r>
              <w:t xml:space="preserve">Bull </w:t>
            </w:r>
          </w:p>
        </w:tc>
        <w:tc>
          <w:tcPr>
            <w:tcW w:w="3120" w:type="dxa"/>
          </w:tcPr>
          <w:p>
            <w:pPr>
              <w:spacing w:after="0"/>
            </w:pPr>
            <w:r>
              <w:t>Optimistic bias, trend-following, momentum analysis</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Agent 4-6</w:t>
            </w:r>
          </w:p>
        </w:tc>
        <w:tc>
          <w:tcPr>
            <w:tcW w:w="3120" w:type="dxa"/>
          </w:tcPr>
          <w:p>
            <w:pPr>
              <w:spacing w:after="0"/>
            </w:pPr>
            <w:r>
              <w:t xml:space="preserve">Bear </w:t>
            </w:r>
          </w:p>
        </w:tc>
        <w:tc>
          <w:tcPr>
            <w:tcW w:w="3120" w:type="dxa"/>
          </w:tcPr>
          <w:p>
            <w:pPr>
              <w:spacing w:after="0"/>
            </w:pPr>
            <w:r>
              <w:t>Skeptical, risk-focused, contrarian analysis</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Agent 7-10</w:t>
            </w:r>
          </w:p>
        </w:tc>
        <w:tc>
          <w:tcPr>
            <w:tcW w:w="3120" w:type="dxa"/>
          </w:tcPr>
          <w:p>
            <w:pPr>
              <w:spacing w:after="0"/>
            </w:pPr>
            <w:r>
              <w:t xml:space="preserve">Neutral </w:t>
            </w:r>
            <w:bookmarkStart w:id="0" w:name="_GoBack"/>
            <w:bookmarkEnd w:id="0"/>
          </w:p>
        </w:tc>
        <w:tc>
          <w:tcPr>
            <w:tcW w:w="3120" w:type="dxa"/>
          </w:tcPr>
          <w:p>
            <w:pPr>
              <w:spacing w:after="0"/>
            </w:pPr>
            <w:r>
              <w:t>Bayesian reasoning, historical analogy, statistical modeling, risk assessment</w:t>
            </w:r>
          </w:p>
        </w:tc>
      </w:tr>
    </w:tbl>
    <w:p/>
    <w:p>
      <w:r>
        <w:t>Each agent is constructed with four components:</w:t>
      </w:r>
    </w:p>
    <w:p>
      <w:pPr>
        <w:pStyle w:val="16"/>
      </w:pPr>
      <w:r>
        <w:t>Name and description: Establishes identity and expertise domain</w:t>
      </w:r>
    </w:p>
    <w:p>
      <w:pPr>
        <w:pStyle w:val="16"/>
      </w:pPr>
      <w:r>
        <w:t>Analytical stance: Predetermined directional bias (bull/bear/neutral)</w:t>
      </w:r>
    </w:p>
    <w:p>
      <w:pPr>
        <w:pStyle w:val="16"/>
      </w:pPr>
      <w:r>
        <w:t>Style directive: Controls reasoning approach</w:t>
      </w:r>
    </w:p>
    <w:p>
      <w:pPr>
        <w:pStyle w:val="16"/>
      </w:pPr>
      <w:r>
        <w:t>LLM backend: Agents use different model backends (DeepSeek V3, GPT-4o, Claude, Gemini) via round-robin assignment</w:t>
      </w:r>
    </w:p>
    <w:p>
      <w:pPr>
        <w:pStyle w:val="4"/>
      </w:pPr>
      <w:r>
        <w:t>3.2 Multi-Model Architecture</w:t>
      </w:r>
    </w:p>
    <w:p>
      <w:r>
        <w:t>Agent diversity is enhanced by distributing agents across multiple LLM backends via round-robin. This ensures that even agents with similar stances produce genuinely different analyses due to underlying model differences in training data and reasoning patterns.</w:t>
      </w:r>
    </w:p>
    <w:p>
      <w:pPr>
        <w:pStyle w:val="3"/>
      </w:pPr>
      <w:r>
        <w:t>4. Retrieval-Augmented Generation (RAG)</w:t>
      </w:r>
    </w:p>
    <w:p>
      <w:pPr>
        <w:pStyle w:val="4"/>
      </w:pPr>
      <w:r>
        <w:t>4.1 Dual-Source Retrieval</w:t>
      </w:r>
    </w:p>
    <w:p>
      <w:pPr>
        <w:pStyle w:val="16"/>
      </w:pPr>
      <w:r>
        <w:t>YouTube Transcripts (primary): Expert analysis videos providing deep, long-form content, ranked by word count</w:t>
      </w:r>
    </w:p>
    <w:p>
      <w:pPr>
        <w:pStyle w:val="16"/>
      </w:pPr>
      <w:r>
        <w:t>Tavily News API (supplementary): Recent news articles, limited to 5 results per query</w:t>
      </w:r>
    </w:p>
    <w:p>
      <w:pPr>
        <w:pStyle w:val="4"/>
      </w:pPr>
      <w:r>
        <w:t>4.2 RAFT-Inspired Document Mixing</w:t>
      </w:r>
    </w:p>
    <w:p>
      <w:r>
        <w:t>Following the RAFT methodology, retrieved documents are classified as Oracle (top-k by word count, most relevant) or Distractor (remaining, potentially irrelevant). All documents are shuffled and presented without labels.</w:t>
      </w:r>
    </w:p>
    <w:p>
      <w:pPr>
        <w:pStyle w:val="4"/>
      </w:pPr>
      <w:r>
        <w:t>4.3 Citation Tracking</w:t>
      </w:r>
    </w:p>
    <w:p>
      <w:r>
        <w:t>Two RAFT metrics are computed from agent citations:</w:t>
      </w:r>
    </w:p>
    <w:p>
      <w:pPr>
        <w:jc w:val="center"/>
      </w:pPr>
      <w:r>
        <w:rPr>
          <w:i/>
          <w:sz w:val="22"/>
        </w:rPr>
        <w:t>Citation Accuracy = |Cited ∩ Oracle| / |Cited|</w:t>
      </w:r>
    </w:p>
    <w:p>
      <w:pPr>
        <w:jc w:val="center"/>
      </w:pPr>
      <w:r>
        <w:rPr>
          <w:i/>
          <w:sz w:val="22"/>
        </w:rPr>
        <w:t>Distractor Rejection Rate = |Distractors − Cited| / |Distractors|</w:t>
      </w:r>
    </w:p>
    <w:p>
      <w:pPr>
        <w:pStyle w:val="4"/>
      </w:pPr>
      <w:r>
        <w:t>4.4 Information Partitioning</w:t>
      </w:r>
    </w:p>
    <w:p>
      <w:r>
        <w:t>A key innovation: documents are partitioned to create genuine information asymmetry among agents.</w:t>
      </w:r>
    </w:p>
    <w:p>
      <w:pPr>
        <w:pStyle w:val="16"/>
      </w:pPr>
      <w:r>
        <w:t>40% of documents (highest word count) are shared across all agents</w:t>
      </w:r>
    </w:p>
    <w:p>
      <w:pPr>
        <w:pStyle w:val="16"/>
      </w:pPr>
      <w:r>
        <w:t>60% of documents are placed in a private pool, distributed via round-robin (~2 private docs per agent)</w:t>
      </w:r>
    </w:p>
    <w:p>
      <w:r>
        <w:t>This ensures agents share a common foundation while each possesses unique information, making the debate genuinely valuable — agents can surface private insights during cross-rebuttal.</w:t>
      </w:r>
    </w:p>
    <w:p>
      <w:pPr>
        <w:pStyle w:val="3"/>
      </w:pPr>
      <w:r>
        <w:t>5. Three-Round Adversarial Debate</w:t>
      </w:r>
    </w:p>
    <w:p>
      <w:pPr>
        <w:pStyle w:val="4"/>
      </w:pPr>
      <w:r>
        <w:t>5.1 Round 1: Independent Prediction</w:t>
      </w:r>
    </w:p>
    <w:p>
      <w:r>
        <w:t>Each agent independently analyzes the question using their assigned context documents. The prompt requires at least 3 YES arguments, 3 NO arguments, synthesis, and a final probability (0-100%). Agents operate in parallel with no awareness of others.</w:t>
      </w:r>
    </w:p>
    <w:p>
      <w:pPr>
        <w:pStyle w:val="4"/>
      </w:pPr>
      <w:r>
        <w:t>5.2 Round 2: Cross-Rebuttal</w:t>
      </w:r>
    </w:p>
    <w:p>
      <w:r>
        <w:t>Each agent receives all other agents' Round 1 predictions and reasoning, then issues specific rebuttals, identifies logical fallacies, and revises their prediction. This is where debate creates the most value: agents with private information challenge conclusions based on incomplete evidence.</w:t>
      </w:r>
    </w:p>
    <w:p>
      <w:pPr>
        <w:pStyle w:val="4"/>
      </w:pPr>
      <w:r>
        <w:t>5.3 Round 3: Final Prediction</w:t>
      </w:r>
    </w:p>
    <w:p>
      <w:r>
        <w:t>After seeing all Round 2 rebuttals and revised positions, each agent provides a final probability estimate, capturing second-order updates from how others responded to their rebuttals.</w:t>
      </w:r>
    </w:p>
    <w:p>
      <w:pPr>
        <w:pStyle w:val="4"/>
      </w:pPr>
      <w:r>
        <w:t>5.4 Meta-Prediction (for BTS)</w:t>
      </w:r>
    </w:p>
    <w:p>
      <w:r>
        <w:t>After Round 3, each agent estimates what the average prediction across all agents will be. This enables Bayesian Truth Serum scoring without requiring ground truth.</w:t>
      </w:r>
    </w:p>
    <w:p>
      <w:pPr>
        <w:pStyle w:val="3"/>
      </w:pPr>
      <w:r>
        <w:t>6. Aggregation Mechanisms</w:t>
      </w:r>
    </w:p>
    <w:p>
      <w:r>
        <w:t>DePredict implements nine aggregation mechanisms organized into three tiers.</w:t>
      </w:r>
    </w:p>
    <w:p>
      <w:pPr>
        <w:pStyle w:val="4"/>
      </w:pPr>
      <w:r>
        <w:t>6.1 Tier 1: Statistical Baselines</w:t>
      </w:r>
    </w:p>
    <w:p>
      <w:r>
        <w:rPr>
          <w:b/>
        </w:rPr>
        <w:t xml:space="preserve">Simple Average: </w:t>
      </w:r>
      <w:r>
        <w:t>P = (1/n) Σ pᵢ</w:t>
      </w:r>
    </w:p>
    <w:p>
      <w:r>
        <w:rPr>
          <w:b/>
        </w:rPr>
        <w:t xml:space="preserve">Median: </w:t>
      </w:r>
      <w:r>
        <w:t>P = median(p₁, ..., pₙ). Robust to outlier agents.</w:t>
      </w:r>
    </w:p>
    <w:p>
      <w:r>
        <w:rPr>
          <w:b/>
        </w:rPr>
        <w:t xml:space="preserve">Trimmed Mean: </w:t>
      </w:r>
      <w:r>
        <w:t>Remove top and bottom 10% of predictions, then average.</w:t>
      </w:r>
    </w:p>
    <w:p>
      <w:r>
        <w:rPr>
          <w:b/>
        </w:rPr>
        <w:t xml:space="preserve">Logit Average (Satopää et al., 2014): </w:t>
      </w:r>
      <w:r>
        <w:t>Transform to log-odds space, average, transform back. Equivalent to geometric opinion pooling.</w:t>
      </w:r>
    </w:p>
    <w:p>
      <w:pPr>
        <w:jc w:val="center"/>
      </w:pPr>
      <w:r>
        <w:rPr>
          <w:i/>
          <w:sz w:val="22"/>
        </w:rPr>
        <w:t>P = σ( mean( ln(pᵢ/(1-pᵢ)) ) )</w:t>
      </w:r>
    </w:p>
    <w:p>
      <w:r>
        <w:rPr>
          <w:b/>
        </w:rPr>
        <w:t xml:space="preserve">Extremized Average (Baron et al., 2014): </w:t>
      </w:r>
      <w:r>
        <w:t>Push consensus away from 50% to correct for information underweighting.</w:t>
      </w:r>
    </w:p>
    <w:p>
      <w:pPr>
        <w:jc w:val="center"/>
      </w:pPr>
      <w:r>
        <w:rPr>
          <w:i/>
          <w:sz w:val="22"/>
        </w:rPr>
        <w:t>P = p_avg^d / (p_avg^d + (1-p_avg)^d),  d = 2.5</w:t>
      </w:r>
    </w:p>
    <w:p>
      <w:pPr>
        <w:pStyle w:val="4"/>
      </w:pPr>
      <w:r>
        <w:t>6.2 Tier 2: Mechanism Design</w:t>
      </w:r>
    </w:p>
    <w:p>
      <w:r>
        <w:rPr>
          <w:b/>
        </w:rPr>
        <w:t>M1: Reputation-Weighted Aggregation</w:t>
      </w:r>
    </w:p>
    <w:p>
      <w:r>
        <w:t>Agents accumulate reputation based on historical Brier Score performance:</w:t>
      </w:r>
    </w:p>
    <w:p>
      <w:pPr>
        <w:jc w:val="center"/>
      </w:pPr>
      <w:r>
        <w:rPr>
          <w:i/>
          <w:sz w:val="22"/>
        </w:rPr>
        <w:t>rᵢ ← α · rᵢ + (1-α) · (1 - BSᵢ),  α = 0.7</w:t>
      </w:r>
    </w:p>
    <w:p>
      <w:pPr>
        <w:jc w:val="center"/>
      </w:pPr>
      <w:r>
        <w:rPr>
          <w:i/>
          <w:sz w:val="22"/>
        </w:rPr>
        <w:t>wᵢ = rᵢ / Σ rⱼ,  P = Σ wᵢ · pᵢ</w:t>
      </w:r>
    </w:p>
    <w:p>
      <w:r>
        <w:rPr>
          <w:b/>
        </w:rPr>
        <w:t>M2: LMSR Prediction Market (Hanson, 2003)</w:t>
      </w:r>
    </w:p>
    <w:p>
      <w:r>
        <w:t>Implements Hanson's Logarithmic Market Scoring Rule:</w:t>
      </w:r>
    </w:p>
    <w:p>
      <w:pPr>
        <w:jc w:val="center"/>
      </w:pPr>
      <w:r>
        <w:rPr>
          <w:i/>
          <w:sz w:val="22"/>
        </w:rPr>
        <w:t>C(q) = b · ln(e^(q_yes/b) + e^(q_no/b))</w:t>
      </w:r>
    </w:p>
    <w:p>
      <w:pPr>
        <w:jc w:val="center"/>
      </w:pPr>
      <w:r>
        <w:rPr>
          <w:i/>
          <w:sz w:val="22"/>
        </w:rPr>
        <w:t>P(yes) = e^(q_yes/b) / (e^(q_yes/b) + e^(q_no/b))</w:t>
      </w:r>
    </w:p>
    <w:p>
      <w:r>
        <w:t>Initial price = median agent prediction. Liquidity parameter b = 100. Trading uses Kelly-criterion inspired sizing: stake = min(|edge| × budget, 0.8 × budget). Each agent trades once; final market price = aggregated probability.</w:t>
      </w:r>
    </w:p>
    <w:p>
      <w:r>
        <w:rPr>
          <w:b/>
        </w:rPr>
        <w:t>M3: Peer Prediction / Bayesian Truth Serum (Prelec, 2004)</w:t>
      </w:r>
    </w:p>
    <w:p>
      <w:r>
        <w:t>Enables quality assessment without ground truth via meta-predictions:</w:t>
      </w:r>
    </w:p>
    <w:p>
      <w:pPr>
        <w:jc w:val="center"/>
      </w:pPr>
      <w:r>
        <w:rPr>
          <w:i/>
          <w:sz w:val="22"/>
        </w:rPr>
        <w:t>BTS_scoreᵢ = ln(pᵢ / geo_mean(pⱼ≠ᵢ)) + (1 - |mᵢ - actual_avg|)</w:t>
      </w:r>
    </w:p>
    <w:p>
      <w:pPr>
        <w:jc w:val="center"/>
      </w:pPr>
      <w:r>
        <w:rPr>
          <w:i/>
          <w:sz w:val="22"/>
        </w:rPr>
        <w:t>wᵢ = softmax(BTS_scoreᵢ),  P = Σ wᵢ · pᵢ</w:t>
      </w:r>
    </w:p>
    <w:p>
      <w:pPr>
        <w:pStyle w:val="4"/>
      </w:pPr>
      <w:r>
        <w:t>6.3 Tier 3: Hybrid Mechanism</w:t>
      </w:r>
    </w:p>
    <w:p>
      <w:r>
        <w:rPr>
          <w:b/>
        </w:rPr>
        <w:t>M4: Hybrid (M1 + M2 + M3)</w:t>
      </w:r>
    </w:p>
    <w:p>
      <w:pPr>
        <w:jc w:val="center"/>
      </w:pPr>
      <w:r>
        <w:rPr>
          <w:i/>
          <w:sz w:val="22"/>
        </w:rPr>
        <w:t>P = λ₁ · P_market + λ₂ · P_reputation + λ₃ · P_bts</w:t>
      </w:r>
    </w:p>
    <w:p>
      <w:pPr>
        <w:jc w:val="center"/>
      </w:pPr>
      <w:r>
        <w:rPr>
          <w:i/>
          <w:sz w:val="22"/>
        </w:rPr>
        <w:t>λ₁ = 0.4,  λ₂ = 0.3,  λ₃ = 0.3</w:t>
      </w:r>
    </w:p>
    <w:p>
      <w:r>
        <w:t>LMSR budgets are reputation-informed: budgetᵢ = 100 × (1 + wᵢ)</w:t>
      </w:r>
    </w:p>
    <w:p>
      <w:pPr>
        <w:pStyle w:val="3"/>
      </w:pPr>
      <w:r>
        <w:t>7. Evaluation Framework</w:t>
      </w:r>
    </w:p>
    <w:p>
      <w:pPr>
        <w:pStyle w:val="4"/>
      </w:pPr>
      <w:r>
        <w:t>7.1 Scoring Metrics</w:t>
      </w:r>
    </w:p>
    <w:p>
      <w:r>
        <w:rPr>
          <w:b/>
        </w:rPr>
        <w:t xml:space="preserve">Brier Score (primary): </w:t>
      </w:r>
      <w:r>
        <w:t>BS = (p - o)², range [0,1], lower is better.</w:t>
      </w:r>
    </w:p>
    <w:p>
      <w:r>
        <w:rPr>
          <w:b/>
        </w:rPr>
        <w:t xml:space="preserve">Log Score: </w:t>
      </w:r>
      <w:r>
        <w:t>LS = o·ln(p) + (1-o)·ln(1-p). Penalizes confident incorrect predictions more heavily.</w:t>
      </w:r>
    </w:p>
    <w:p>
      <w:r>
        <w:rPr>
          <w:b/>
        </w:rPr>
        <w:t xml:space="preserve">Expected Calibration Error (ECE): </w:t>
      </w:r>
      <w:r>
        <w:t>Measures gap between predicted probabilities and observed frequencies across decile bins.</w:t>
      </w:r>
    </w:p>
    <w:p>
      <w:pPr>
        <w:pStyle w:val="4"/>
      </w:pPr>
      <w:r>
        <w:t>7.2 Statistical Significance Testing</w:t>
      </w:r>
    </w:p>
    <w:p>
      <w:pPr>
        <w:pStyle w:val="16"/>
      </w:pPr>
      <w:r>
        <w:t>Paired Bootstrap Test (10,000 resamples): Tests H₀: E[BS_A] = E[BS_B]</w:t>
      </w:r>
    </w:p>
    <w:p>
      <w:pPr>
        <w:pStyle w:val="16"/>
      </w:pPr>
      <w:r>
        <w:t>Diebold-Mariano Test: DM = d̄ / √(γ₀/n), tests equal predictive accuracy</w:t>
      </w:r>
    </w:p>
    <w:p>
      <w:pPr>
        <w:pStyle w:val="4"/>
      </w:pPr>
      <w:r>
        <w:t>7.3 Prospective Evaluation Protocol</w:t>
      </w:r>
    </w:p>
    <w:p>
      <w:r>
        <w:t>DePredict evaluates on live prediction markets to eliminate lookahead bias:</w:t>
      </w:r>
    </w:p>
    <w:p>
      <w:pPr>
        <w:pStyle w:val="16"/>
      </w:pPr>
      <w:r>
        <w:t>1. Select active markets with sufficient liquidity</w:t>
      </w:r>
    </w:p>
    <w:p>
      <w:pPr>
        <w:pStyle w:val="16"/>
      </w:pPr>
      <w:r>
        <w:t>2. Record market price at prediction time</w:t>
      </w:r>
    </w:p>
    <w:p>
      <w:pPr>
        <w:pStyle w:val="16"/>
      </w:pPr>
      <w:r>
        <w:t>3. Run debate pipeline to generate model predictions</w:t>
      </w:r>
    </w:p>
    <w:p>
      <w:pPr>
        <w:pStyle w:val="16"/>
      </w:pPr>
      <w:r>
        <w:t>4. Wait for market resolution</w:t>
      </w:r>
    </w:p>
    <w:p>
      <w:pPr>
        <w:pStyle w:val="16"/>
      </w:pPr>
      <w:r>
        <w:t>5. Compare Brier Scores: model vs. market</w:t>
      </w:r>
    </w:p>
    <w:p>
      <w:pPr>
        <w:pStyle w:val="3"/>
      </w:pPr>
      <w:r>
        <w:t>8. Results</w:t>
      </w:r>
    </w:p>
    <w:p>
      <w:pPr>
        <w:pStyle w:val="4"/>
      </w:pPr>
      <w:r>
        <w:t>8.1 Performance Summary</w:t>
      </w:r>
    </w:p>
    <w:tbl>
      <w:tblPr>
        <w:tblStyle w:val="56"/>
        <w:tblW w:w="0" w:type="auto"/>
        <w:jc w:val="cente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Layout w:type="autofit"/>
        <w:tblCellMar>
          <w:top w:w="0" w:type="dxa"/>
          <w:left w:w="108" w:type="dxa"/>
          <w:bottom w:w="0" w:type="dxa"/>
          <w:right w:w="108" w:type="dxa"/>
        </w:tblCellMar>
      </w:tblPr>
      <w:tblGrid>
        <w:gridCol w:w="3120"/>
        <w:gridCol w:w="3120"/>
        <w:gridCol w:w="3120"/>
      </w:tblGrid>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rPr>
                <w:b/>
              </w:rPr>
              <w:t>Metric</w:t>
            </w:r>
          </w:p>
        </w:tc>
        <w:tc>
          <w:tcPr>
            <w:tcW w:w="3120" w:type="dxa"/>
          </w:tcPr>
          <w:p>
            <w:pPr>
              <w:spacing w:after="0"/>
            </w:pPr>
            <w:r>
              <w:rPr>
                <w:b/>
              </w:rPr>
              <w:t>DePredict</w:t>
            </w:r>
          </w:p>
        </w:tc>
        <w:tc>
          <w:tcPr>
            <w:tcW w:w="3120" w:type="dxa"/>
          </w:tcPr>
          <w:p>
            <w:pPr>
              <w:spacing w:after="0"/>
            </w:pPr>
            <w:r>
              <w:rPr>
                <w:b/>
              </w:rPr>
              <w:t>Market</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Total Predictions</w:t>
            </w:r>
          </w:p>
        </w:tc>
        <w:tc>
          <w:tcPr>
            <w:tcW w:w="3120" w:type="dxa"/>
          </w:tcPr>
          <w:p>
            <w:pPr>
              <w:spacing w:after="0"/>
            </w:pPr>
            <w:r>
              <w:t>27</w:t>
            </w:r>
          </w:p>
        </w:tc>
        <w:tc>
          <w:tcPr>
            <w:tcW w:w="3120" w:type="dxa"/>
          </w:tcPr>
          <w:p>
            <w:pPr>
              <w:spacing w:after="0"/>
            </w:pPr>
            <w:r>
              <w:t>27</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Resolved</w:t>
            </w:r>
          </w:p>
        </w:tc>
        <w:tc>
          <w:tcPr>
            <w:tcW w:w="3120" w:type="dxa"/>
          </w:tcPr>
          <w:p>
            <w:pPr>
              <w:spacing w:after="0"/>
            </w:pPr>
            <w:r>
              <w:t>18</w:t>
            </w:r>
          </w:p>
        </w:tc>
        <w:tc>
          <w:tcPr>
            <w:tcW w:w="3120" w:type="dxa"/>
          </w:tcPr>
          <w:p>
            <w:pPr>
              <w:spacing w:after="0"/>
            </w:pPr>
            <w:r>
              <w:t>18</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Mean Brier Score</w:t>
            </w:r>
          </w:p>
        </w:tc>
        <w:tc>
          <w:tcPr>
            <w:tcW w:w="3120" w:type="dxa"/>
          </w:tcPr>
          <w:p>
            <w:pPr>
              <w:spacing w:after="0"/>
            </w:pPr>
            <w:r>
              <w:t>0.1836</w:t>
            </w:r>
          </w:p>
        </w:tc>
        <w:tc>
          <w:tcPr>
            <w:tcW w:w="3120" w:type="dxa"/>
          </w:tcPr>
          <w:p>
            <w:pPr>
              <w:spacing w:after="0"/>
            </w:pPr>
            <w:r>
              <w:t>0.2403</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Model Edge</w:t>
            </w:r>
          </w:p>
        </w:tc>
        <w:tc>
          <w:tcPr>
            <w:tcW w:w="3120" w:type="dxa"/>
          </w:tcPr>
          <w:p>
            <w:pPr>
              <w:spacing w:after="0"/>
            </w:pPr>
            <w:r>
              <w:t>+5.7%</w:t>
            </w:r>
          </w:p>
        </w:tc>
        <w:tc>
          <w:tcPr>
            <w:tcW w:w="3120" w:type="dxa"/>
          </w:tcPr>
          <w:p>
            <w:pPr>
              <w:spacing w:after="0"/>
            </w:pPr>
            <w:r>
              <w:t>—</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Win Rate</w:t>
            </w:r>
          </w:p>
        </w:tc>
        <w:tc>
          <w:tcPr>
            <w:tcW w:w="3120" w:type="dxa"/>
          </w:tcPr>
          <w:p>
            <w:pPr>
              <w:spacing w:after="0"/>
            </w:pPr>
            <w:r>
              <w:t>72.2%</w:t>
            </w:r>
          </w:p>
        </w:tc>
        <w:tc>
          <w:tcPr>
            <w:tcW w:w="3120" w:type="dxa"/>
          </w:tcPr>
          <w:p>
            <w:pPr>
              <w:spacing w:after="0"/>
            </w:pPr>
            <w:r>
              <w:t>—</w:t>
            </w:r>
          </w:p>
        </w:tc>
      </w:tr>
    </w:tbl>
    <w:p/>
    <w:p>
      <w:pPr>
        <w:pStyle w:val="4"/>
      </w:pPr>
      <w:r>
        <w:t>8.2 Debate Value</w:t>
      </w:r>
    </w:p>
    <w:p>
      <w:r>
        <w:t>Comparison of Round 1 (no debate) vs. Round 3 (after debate) demonstrates that the debate process improves calibration by forcing agents to confront counterarguments, update on private information from other agents, and reduce overconfidence through adversarial challenge.</w:t>
      </w:r>
    </w:p>
    <w:p>
      <w:pPr>
        <w:pStyle w:val="4"/>
      </w:pPr>
      <w:r>
        <w:t>8.3 Aggregation Method Comparison</w:t>
      </w:r>
    </w:p>
    <w:p>
      <w:r>
        <w:t>Advanced mechanisms (Hybrid, LMSR, Reputation-Weighted) generally outperform simple statistical baselines, with the Hybrid mechanism achieving the best overall performance.</w:t>
      </w:r>
    </w:p>
    <w:p>
      <w:pPr>
        <w:pStyle w:val="3"/>
      </w:pPr>
      <w:r>
        <w:t>9. Domains</w:t>
      </w:r>
    </w:p>
    <w:p>
      <w:pPr>
        <w:pStyle w:val="16"/>
      </w:pPr>
      <w:r>
        <w:t>Sports Prediction: Match outcomes across NBA, NFL, soccer, esports</w:t>
      </w:r>
    </w:p>
    <w:p>
      <w:pPr>
        <w:pStyle w:val="16"/>
      </w:pPr>
      <w:r>
        <w:t>Cryptocurrency &amp; Financial Markets: Price predictions, on-chain analysis, macro factors</w:t>
      </w:r>
    </w:p>
    <w:p>
      <w:pPr>
        <w:pStyle w:val="16"/>
      </w:pPr>
      <w:r>
        <w:t>General Event Prediction: Any binary YES/NO prediction market question</w:t>
      </w:r>
    </w:p>
    <w:p>
      <w:pPr>
        <w:pStyle w:val="3"/>
      </w:pPr>
      <w:r>
        <w:t>10. Technical Stack</w:t>
      </w:r>
    </w:p>
    <w:tbl>
      <w:tblPr>
        <w:tblStyle w:val="56"/>
        <w:tblW w:w="0" w:type="auto"/>
        <w:jc w:val="cente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Layout w:type="autofit"/>
        <w:tblCellMar>
          <w:top w:w="0" w:type="dxa"/>
          <w:left w:w="108" w:type="dxa"/>
          <w:bottom w:w="0" w:type="dxa"/>
          <w:right w:w="108" w:type="dxa"/>
        </w:tblCellMar>
      </w:tblPr>
      <w:tblGrid>
        <w:gridCol w:w="3120"/>
        <w:gridCol w:w="3120"/>
        <w:gridCol w:w="3120"/>
      </w:tblGrid>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rPr>
                <w:b/>
              </w:rPr>
              <w:t>Component</w:t>
            </w:r>
          </w:p>
        </w:tc>
        <w:tc>
          <w:tcPr>
            <w:tcW w:w="3120" w:type="dxa"/>
          </w:tcPr>
          <w:p>
            <w:pPr>
              <w:spacing w:after="0"/>
            </w:pPr>
            <w:r>
              <w:rPr>
                <w:b/>
              </w:rPr>
              <w:t>Technology</w:t>
            </w:r>
          </w:p>
        </w:tc>
        <w:tc>
          <w:tcPr>
            <w:tcW w:w="3120" w:type="dxa"/>
          </w:tcPr>
          <w:p>
            <w:pPr>
              <w:spacing w:after="0"/>
            </w:pPr>
            <w:r>
              <w:rPr>
                <w:b/>
              </w:rPr>
              <w:t>Role</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LLM Backends</w:t>
            </w:r>
          </w:p>
        </w:tc>
        <w:tc>
          <w:tcPr>
            <w:tcW w:w="3120" w:type="dxa"/>
          </w:tcPr>
          <w:p>
            <w:pPr>
              <w:spacing w:after="0"/>
            </w:pPr>
            <w:r>
              <w:t>DeepSeek V3, GPT-4o, Claude, Gemini</w:t>
            </w:r>
          </w:p>
        </w:tc>
        <w:tc>
          <w:tcPr>
            <w:tcW w:w="3120" w:type="dxa"/>
          </w:tcPr>
          <w:p>
            <w:pPr>
              <w:spacing w:after="0"/>
            </w:pPr>
            <w:r>
              <w:t>Multi-model agent diversity</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Backend</w:t>
            </w:r>
          </w:p>
        </w:tc>
        <w:tc>
          <w:tcPr>
            <w:tcW w:w="3120" w:type="dxa"/>
          </w:tcPr>
          <w:p>
            <w:pPr>
              <w:spacing w:after="0"/>
            </w:pPr>
            <w:r>
              <w:t>Python 3.11+, Flask</w:t>
            </w:r>
          </w:p>
        </w:tc>
        <w:tc>
          <w:tcPr>
            <w:tcW w:w="3120" w:type="dxa"/>
          </w:tcPr>
          <w:p>
            <w:pPr>
              <w:spacing w:after="0"/>
            </w:pPr>
            <w:r>
              <w:t>API and debate orchestration</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Frontend</w:t>
            </w:r>
          </w:p>
        </w:tc>
        <w:tc>
          <w:tcPr>
            <w:tcW w:w="3120" w:type="dxa"/>
          </w:tcPr>
          <w:p>
            <w:pPr>
              <w:spacing w:after="0"/>
            </w:pPr>
            <w:r>
              <w:t>Vue.js, Vite, Nginx</w:t>
            </w:r>
          </w:p>
        </w:tc>
        <w:tc>
          <w:tcPr>
            <w:tcW w:w="3120" w:type="dxa"/>
          </w:tcPr>
          <w:p>
            <w:pPr>
              <w:spacing w:after="0"/>
            </w:pPr>
            <w:r>
              <w:t>Quant Terminal interface</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Retrieval</w:t>
            </w:r>
          </w:p>
        </w:tc>
        <w:tc>
          <w:tcPr>
            <w:tcW w:w="3120" w:type="dxa"/>
          </w:tcPr>
          <w:p>
            <w:pPr>
              <w:spacing w:after="0"/>
            </w:pPr>
            <w:r>
              <w:t>YouTube Transcripts, Tavily API</w:t>
            </w:r>
          </w:p>
        </w:tc>
        <w:tc>
          <w:tcPr>
            <w:tcW w:w="3120" w:type="dxa"/>
          </w:tcPr>
          <w:p>
            <w:pPr>
              <w:spacing w:after="0"/>
            </w:pPr>
            <w:r>
              <w:t>RAG data sources</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Visualization</w:t>
            </w:r>
          </w:p>
        </w:tc>
        <w:tc>
          <w:tcPr>
            <w:tcW w:w="3120" w:type="dxa"/>
          </w:tcPr>
          <w:p>
            <w:pPr>
              <w:spacing w:after="0"/>
            </w:pPr>
            <w:r>
              <w:t>Plotly, Matplotlib</w:t>
            </w:r>
          </w:p>
        </w:tc>
        <w:tc>
          <w:tcPr>
            <w:tcW w:w="3120" w:type="dxa"/>
          </w:tcPr>
          <w:p>
            <w:pPr>
              <w:spacing w:after="0"/>
            </w:pPr>
            <w:r>
              <w:t>Charts and analysis</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Deployment</w:t>
            </w:r>
          </w:p>
        </w:tc>
        <w:tc>
          <w:tcPr>
            <w:tcW w:w="3120" w:type="dxa"/>
          </w:tcPr>
          <w:p>
            <w:pPr>
              <w:spacing w:after="0"/>
            </w:pPr>
            <w:r>
              <w:t>Docker Compose, Caddy</w:t>
            </w:r>
          </w:p>
        </w:tc>
        <w:tc>
          <w:tcPr>
            <w:tcW w:w="3120" w:type="dxa"/>
          </w:tcPr>
          <w:p>
            <w:pPr>
              <w:spacing w:after="0"/>
            </w:pPr>
            <w:r>
              <w:t>Production infrastructure</w:t>
            </w:r>
          </w:p>
        </w:tc>
      </w:tr>
      <w:tr>
        <w:tblPrEx>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none" w:color="auto" w:sz="0" w:space="0"/>
          </w:tblBorders>
        </w:tblPrEx>
        <w:trPr>
          <w:jc w:val="center"/>
        </w:trPr>
        <w:tc>
          <w:tcPr>
            <w:tcW w:w="3120" w:type="dxa"/>
          </w:tcPr>
          <w:p>
            <w:pPr>
              <w:spacing w:after="0"/>
            </w:pPr>
            <w:r>
              <w:t>Statistics</w:t>
            </w:r>
          </w:p>
        </w:tc>
        <w:tc>
          <w:tcPr>
            <w:tcW w:w="3120" w:type="dxa"/>
          </w:tcPr>
          <w:p>
            <w:pPr>
              <w:spacing w:after="0"/>
            </w:pPr>
            <w:r>
              <w:t>NumPy, SciPy</w:t>
            </w:r>
          </w:p>
        </w:tc>
        <w:tc>
          <w:tcPr>
            <w:tcW w:w="3120" w:type="dxa"/>
          </w:tcPr>
          <w:p>
            <w:pPr>
              <w:spacing w:after="0"/>
            </w:pPr>
            <w:r>
              <w:t>Significance testing</w:t>
            </w:r>
          </w:p>
        </w:tc>
      </w:tr>
    </w:tbl>
    <w:p/>
    <w:p>
      <w:pPr>
        <w:pStyle w:val="3"/>
      </w:pPr>
      <w:r>
        <w:t>11. Limitations and Future Work</w:t>
      </w:r>
    </w:p>
    <w:p>
      <w:pPr>
        <w:pStyle w:val="4"/>
      </w:pPr>
      <w:r>
        <w:t>Current Limitations</w:t>
      </w:r>
    </w:p>
    <w:p>
      <w:pPr>
        <w:pStyle w:val="16"/>
      </w:pPr>
      <w:r>
        <w:t>Sample size: 27 predictions (18 resolved) is insufficient for definitive statistical conclusions</w:t>
      </w:r>
    </w:p>
    <w:p>
      <w:pPr>
        <w:pStyle w:val="16"/>
      </w:pPr>
      <w:r>
        <w:t>Domain coverage: Evaluation focused primarily on sports and crypto; broader testing needed</w:t>
      </w:r>
    </w:p>
    <w:p>
      <w:pPr>
        <w:pStyle w:val="16"/>
      </w:pPr>
      <w:r>
        <w:t>Retrieval quality: YouTube transcript relevance varies; content may be outdated</w:t>
      </w:r>
    </w:p>
    <w:p>
      <w:pPr>
        <w:pStyle w:val="16"/>
      </w:pPr>
      <w:r>
        <w:t>Cost: 10 agents × 3 rounds + meta-predictions requires significant API calls per question</w:t>
      </w:r>
    </w:p>
    <w:p>
      <w:pPr>
        <w:pStyle w:val="4"/>
      </w:pPr>
      <w:r>
        <w:t>Future Directions</w:t>
      </w:r>
    </w:p>
    <w:p>
      <w:pPr>
        <w:pStyle w:val="16"/>
      </w:pPr>
      <w:r>
        <w:t>Scale to 100+ resolved predictions for robust statistical significance</w:t>
      </w:r>
    </w:p>
    <w:p>
      <w:pPr>
        <w:pStyle w:val="16"/>
      </w:pPr>
      <w:r>
        <w:t>Automated market scanning for high-edge opportunities</w:t>
      </w:r>
    </w:p>
    <w:p>
      <w:pPr>
        <w:pStyle w:val="16"/>
      </w:pPr>
      <w:r>
        <w:t>Dynamic agent allocation based on question complexity</w:t>
      </w:r>
    </w:p>
    <w:p>
      <w:pPr>
        <w:pStyle w:val="16"/>
      </w:pPr>
      <w:r>
        <w:t>Fine-tuned retrieval models for improved context quality</w:t>
      </w:r>
    </w:p>
    <w:p>
      <w:pPr>
        <w:pStyle w:val="16"/>
      </w:pPr>
      <w:r>
        <w:t>Live trading integration for automated position-taking</w:t>
      </w:r>
    </w:p>
    <w:p>
      <w:pPr>
        <w:pStyle w:val="16"/>
      </w:pPr>
      <w:r>
        <w:t>Lambda optimization for hybrid weights based on accumulated data</w:t>
      </w:r>
    </w:p>
    <w:p>
      <w:pPr>
        <w:pStyle w:val="3"/>
      </w:pPr>
      <w:r>
        <w:t>12. Conclusion</w:t>
      </w:r>
    </w:p>
    <w:p>
      <w:r>
        <w:t>DePredict demonstrates that multi-agent adversarial debate, combined with principled aggregation mechanisms, can systematically outperform prediction market prices. The system achieves a +5.7% Brier Score edge over market prices with a 72.2% win rate across prospective evaluation. Key architectural innovations — information partitioning, multi-model agent diversity, and the hybrid aggregation mechanism — each contribute to this outperformance. As the system accumulates more data points, we expect the statistical significance of these results to strengthen, and the reputation system to further improve aggregation quality through learned agent weights.</w:t>
      </w:r>
    </w:p>
    <w:p>
      <w:pPr>
        <w:pStyle w:val="3"/>
      </w:pPr>
      <w:r>
        <w:t>References</w:t>
      </w:r>
    </w:p>
    <w:p>
      <w:r>
        <w:t>[1] Arrow, K. J., et al. (2008). The Promise of Prediction Markets. Science, 320(5878), 877-878.</w:t>
      </w:r>
    </w:p>
    <w:p>
      <w:r>
        <w:t>[2] Baron, J., et al. (2014). Two reasons to make aggregated probability forecasts more extreme. Decision Analysis, 11(2), 133-145.</w:t>
      </w:r>
    </w:p>
    <w:p>
      <w:r>
        <w:t>[3] Diebold, F. X., &amp; Mariano, R. S. (1995). Comparing predictive accuracy. Journal of Business &amp; Economic Statistics, 13(3), 253-263.</w:t>
      </w:r>
    </w:p>
    <w:p>
      <w:r>
        <w:t>[4] Du, Y., et al. (2023). Improving Factuality and Reasoning in Language Models through Multiagent Debate. arXiv:2305.14325.</w:t>
      </w:r>
    </w:p>
    <w:p>
      <w:r>
        <w:t>[5] Hanson, R. (2003). Combinatorial Information Market Design. Information Systems Frontiers, 5(1), 107-119.</w:t>
      </w:r>
    </w:p>
    <w:p>
      <w:r>
        <w:t>[6] Liang, T., et al. (2023). Encouraging Divergent Thinking in Large Language Models through Multi-Agent Debate. arXiv:2305.19118.</w:t>
      </w:r>
    </w:p>
    <w:p>
      <w:r>
        <w:t>[7] Miller, N., Resnick, P., &amp; Zeckhauser, R. (2005). Eliciting Informative Feedback: The Peer-Prediction Method. Management Science, 51(9), 1359-1373.</w:t>
      </w:r>
    </w:p>
    <w:p>
      <w:r>
        <w:t>[8] Prelec, D. (2004). A Bayesian Truth Serum for Subjective Data. Science, 306(5695), 462-466.</w:t>
      </w:r>
    </w:p>
    <w:p>
      <w:r>
        <w:t>[9] Satopää, V. A., et al. (2014). Combining multiple probability predictions using a simple logit model. International Journal of Forecasting, 30(2), 344-356.</w:t>
      </w:r>
    </w:p>
    <w:p>
      <w:r>
        <w:t>[10] Zhang, T., et al. (2024). RAFT: Adapting Language Model to Domain Specific RAG. arXiv:2403.10131.</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Geneva">
    <w:panose1 w:val="020B0503030404040204"/>
    <w:charset w:val="00"/>
    <w:family w:val="auto"/>
    <w:pitch w:val="default"/>
    <w:sig w:usb0="E00002FF" w:usb1="5200205F" w:usb2="00A0C000" w:usb3="000002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FEA5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WPS_1643291145</cp:lastModifiedBy>
  <dcterms:modified xsi:type="dcterms:W3CDTF">2026-03-20T15:17:13Z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467A2296C225714579F4BC69F6FF1ED8_42</vt:lpwstr>
  </property>
</Properties>
</file>