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深圳市富源学校人事、排课、工资结算系统　验收清单</w:t>
      </w:r>
    </w:p>
    <w:tbl>
      <w:tblPr>
        <w:tblW w:type="dxa" w:w="1390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7CDD4" w:sz="2"/>
          <w:insideV w:val="single" w:color="C7CDD4" w:sz="2"/>
        </w:tblBorders>
      </w:tblPr>
      <w:tblGrid>
        <w:gridCol w:w="3500"/>
        <w:gridCol w:w="10406"/>
      </w:tblGrid>
      <w:tr>
        <w:trPr>
          <w:tblHeader/>
        </w:trPr>
        <w:tc>
          <w:tcPr>
            <w:tcW w:type="dxa" w:w="35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项目名称</w:t>
            </w:r>
          </w:p>
        </w:tc>
        <w:tc>
          <w:tcPr>
            <w:tcW w:type="dxa" w:w="10406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深圳市富源学校人事、排课、工资结算系统</w:t>
            </w:r>
          </w:p>
        </w:tc>
      </w:tr>
      <w:tr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验收日期</w:t>
            </w:r>
          </w:p>
        </w:tc>
        <w:tc>
          <w:tcPr>
            <w:tcW w:type="dxa" w:w="104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年　　月　　日</w:t>
            </w:r>
          </w:p>
        </w:tc>
      </w:tr>
      <w:tr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验收地点</w:t>
            </w:r>
          </w:p>
        </w:tc>
        <w:tc>
          <w:tcPr>
            <w:tcW w:type="dxa" w:w="104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校方参与人</w:t>
            </w:r>
          </w:p>
        </w:tc>
        <w:tc>
          <w:tcPr>
            <w:tcW w:type="dxa" w:w="104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开发方参与人</w:t>
            </w:r>
          </w:p>
        </w:tc>
        <w:tc>
          <w:tcPr>
            <w:tcW w:type="dxa" w:w="104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28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spacing w:after="60" w:before="60" w:line="280"/>
      </w:pPr>
      <w:r>
        <w:rPr>
          <w:rFonts w:ascii="宋体" w:cs="宋体" w:eastAsia="宋体" w:hAnsi="宋体"/>
          <w:b/>
          <w:bCs/>
          <w:sz w:val="20"/>
          <w:szCs w:val="20"/>
        </w:rPr>
        <w:t xml:space="preserve">填写说明</w:t>
      </w:r>
    </w:p>
    <w:p>
      <w:pPr>
        <w:spacing w:after="40" w:before="40" w:line="280"/>
        <w:ind w:left="26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・</w:t>
      </w: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每项验收结果勾选</w:t>
      </w: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「通过 / 有条件通过 / 不通过」</w:t>
      </w: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之一</w:t>
      </w:r>
    </w:p>
    <w:p>
      <w:pPr>
        <w:spacing w:after="40" w:before="40" w:line="280"/>
        <w:ind w:left="26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・</w:t>
      </w: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勾选</w:t>
      </w: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「有条件通过」</w:t>
      </w: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或</w:t>
      </w: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「不通过」</w:t>
      </w: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的，须在备注栏写明具体问题</w:t>
      </w:r>
    </w:p>
    <w:p>
      <w:pPr>
        <w:spacing w:after="40" w:before="40" w:line="280"/>
        <w:ind w:left="26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・</w:t>
      </w: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全部验收项走完后，在第十节填写验收结论并双方签字</w:t>
      </w:r>
    </w:p>
    <w:p>
      <w:pPr>
        <w:pBdr>
          <w:bottom w:val="single" w:color="D0D5DB" w:sz="6"/>
        </w:pBdr>
        <w:spacing w:after="160" w:before="10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Style w:val="Heading1"/>
        <w:spacing w:after="160" w:before="3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一、人事管理模块</w:t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（一）基础人员信息管理</w:t>
      </w:r>
    </w:p>
    <w:tbl>
      <w:tblPr>
        <w:tblW w:type="dxa" w:w="1390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7CDD4" w:sz="2"/>
          <w:insideV w:val="single" w:color="C7CDD4" w:sz="2"/>
        </w:tblBorders>
      </w:tblPr>
      <w:tblGrid>
        <w:gridCol w:w="780"/>
        <w:gridCol w:w="4300"/>
        <w:gridCol w:w="4200"/>
        <w:gridCol w:w="620"/>
        <w:gridCol w:w="700"/>
        <w:gridCol w:w="700"/>
        <w:gridCol w:w="2606"/>
      </w:tblGrid>
      <w:tr>
        <w:trPr>
          <w:tblHeader/>
        </w:trPr>
        <w:tc>
          <w:tcPr>
            <w:tcW w:type="dxa" w:w="78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3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验收内容</w:t>
            </w:r>
          </w:p>
        </w:tc>
        <w:tc>
          <w:tcPr>
            <w:tcW w:type="dxa" w:w="42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验收方式</w:t>
            </w:r>
          </w:p>
        </w:tc>
        <w:tc>
          <w:tcPr>
            <w:tcW w:type="dxa" w:w="62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通过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有条件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不通过</w:t>
            </w:r>
          </w:p>
        </w:tc>
        <w:tc>
          <w:tcPr>
            <w:tcW w:type="dxa" w:w="2606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组织架构、部门/科室、岗位分级搭建完整，与系统权限打通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查看组织树建制，切换账号验证权限生效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教职工信息录入、编辑功能可用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现场新建一名教职工并修改信息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教职工信息批量导入、批量导出可用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现场导入一批测试数据并导出核对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档案字段齐全：基础信息、学历、职称、任教科目、入职离职、合同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打开任一教职工档案逐项核对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证件附件上传与存储可用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现场上传一份证件并重新下载查看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1.6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支持多条件组合查询与筛选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按学部+岗位+状态组合检索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1.7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档案台账导出正常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现场导出并打开文件核对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1.8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人员异动（入职、调岗、离职）可发起审批，记录留痕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现场发起一笔调岗走完流程，查看留痕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28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（二）人事权限与安全</w:t>
      </w:r>
    </w:p>
    <w:tbl>
      <w:tblPr>
        <w:tblW w:type="dxa" w:w="1390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7CDD4" w:sz="2"/>
          <w:insideV w:val="single" w:color="C7CDD4" w:sz="2"/>
        </w:tblBorders>
      </w:tblPr>
      <w:tblGrid>
        <w:gridCol w:w="780"/>
        <w:gridCol w:w="4300"/>
        <w:gridCol w:w="4200"/>
        <w:gridCol w:w="620"/>
        <w:gridCol w:w="700"/>
        <w:gridCol w:w="700"/>
        <w:gridCol w:w="2606"/>
      </w:tblGrid>
      <w:tr>
        <w:trPr>
          <w:tblHeader/>
        </w:trPr>
        <w:tc>
          <w:tcPr>
            <w:tcW w:type="dxa" w:w="78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3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验收内容</w:t>
            </w:r>
          </w:p>
        </w:tc>
        <w:tc>
          <w:tcPr>
            <w:tcW w:type="dxa" w:w="42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验收方式</w:t>
            </w:r>
          </w:p>
        </w:tc>
        <w:tc>
          <w:tcPr>
            <w:tcW w:type="dxa" w:w="62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通过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有条件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不通过</w:t>
            </w:r>
          </w:p>
        </w:tc>
        <w:tc>
          <w:tcPr>
            <w:tcW w:type="dxa" w:w="2606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1.9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人事岗可查看全部人员信息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以人事账号登录查看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1.10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部门负责人仅可查看本部门人员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以学部负责人账号登录，确认看不到他部人员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1.11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普通教职工仅可查看本人信息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以教师账号登录，尝试访问他人档案被拒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1.12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人事信息修改、删除全流程操作日志可追溯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修改一条档案后查看审计记录，含操作人、时间、修改前后值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1.13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敏感档案（身份证、银行卡）加密存储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在数据库中直接查看该字段，确认为密文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1.14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无越权访问漏洞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以低权限账号尝试访问高权限数据，确认被拒绝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28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（三）人事流程联动</w:t>
      </w:r>
    </w:p>
    <w:tbl>
      <w:tblPr>
        <w:tblW w:type="dxa" w:w="1390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7CDD4" w:sz="2"/>
          <w:insideV w:val="single" w:color="C7CDD4" w:sz="2"/>
        </w:tblBorders>
      </w:tblPr>
      <w:tblGrid>
        <w:gridCol w:w="780"/>
        <w:gridCol w:w="4300"/>
        <w:gridCol w:w="4200"/>
        <w:gridCol w:w="620"/>
        <w:gridCol w:w="700"/>
        <w:gridCol w:w="700"/>
        <w:gridCol w:w="2606"/>
      </w:tblGrid>
      <w:tr>
        <w:trPr>
          <w:tblHeader/>
        </w:trPr>
        <w:tc>
          <w:tcPr>
            <w:tcW w:type="dxa" w:w="78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3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验收内容</w:t>
            </w:r>
          </w:p>
        </w:tc>
        <w:tc>
          <w:tcPr>
            <w:tcW w:type="dxa" w:w="42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验收方式</w:t>
            </w:r>
          </w:p>
        </w:tc>
        <w:tc>
          <w:tcPr>
            <w:tcW w:type="dxa" w:w="62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通过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有条件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不通过</w:t>
            </w:r>
          </w:p>
        </w:tc>
        <w:tc>
          <w:tcPr>
            <w:tcW w:type="dxa" w:w="2606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1.15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异动可发起 OA 审批，支持抄送、会签、退回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现场发起审批，分别演示三种操作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1.16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审批完成后自动同步更新教职工信息库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审批通过后查看档案是否已更新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1.17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人事数据同步至排课模块，无错乱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修改教师任教科目，查看排课侧是否同步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1.18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人事数据同步至工资核算模块，无错乱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修改职称，查看工资单基本工资档是否随之变化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28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（四）资料与培训</w:t>
      </w:r>
    </w:p>
    <w:tbl>
      <w:tblPr>
        <w:tblW w:type="dxa" w:w="1390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7CDD4" w:sz="2"/>
          <w:insideV w:val="single" w:color="C7CDD4" w:sz="2"/>
        </w:tblBorders>
      </w:tblPr>
      <w:tblGrid>
        <w:gridCol w:w="780"/>
        <w:gridCol w:w="4300"/>
        <w:gridCol w:w="4200"/>
        <w:gridCol w:w="620"/>
        <w:gridCol w:w="700"/>
        <w:gridCol w:w="700"/>
        <w:gridCol w:w="2606"/>
      </w:tblGrid>
      <w:tr>
        <w:trPr>
          <w:tblHeader/>
        </w:trPr>
        <w:tc>
          <w:tcPr>
            <w:tcW w:type="dxa" w:w="78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3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验收内容</w:t>
            </w:r>
          </w:p>
        </w:tc>
        <w:tc>
          <w:tcPr>
            <w:tcW w:type="dxa" w:w="42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验收方式</w:t>
            </w:r>
          </w:p>
        </w:tc>
        <w:tc>
          <w:tcPr>
            <w:tcW w:type="dxa" w:w="62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通过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有条件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不通过</w:t>
            </w:r>
          </w:p>
        </w:tc>
        <w:tc>
          <w:tcPr>
            <w:tcW w:type="dxa" w:w="2606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1.19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人事管理员操作手册交付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查阅文档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1.20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人事模块运维说明交付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查阅文档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1.21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人事岗人员实操培训完成，可独立完成建档、异动、报表导出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由人事人员现场独立操作一遍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28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Bdr>
          <w:bottom w:val="single" w:color="D0D5DB" w:sz="6"/>
        </w:pBdr>
        <w:spacing w:after="160" w:before="10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Style w:val="Heading1"/>
        <w:spacing w:after="160" w:before="3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二、教学排课模块</w:t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（一）基础教学数据维护</w:t>
      </w:r>
    </w:p>
    <w:tbl>
      <w:tblPr>
        <w:tblW w:type="dxa" w:w="1390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7CDD4" w:sz="2"/>
          <w:insideV w:val="single" w:color="C7CDD4" w:sz="2"/>
        </w:tblBorders>
      </w:tblPr>
      <w:tblGrid>
        <w:gridCol w:w="780"/>
        <w:gridCol w:w="4300"/>
        <w:gridCol w:w="4200"/>
        <w:gridCol w:w="620"/>
        <w:gridCol w:w="700"/>
        <w:gridCol w:w="700"/>
        <w:gridCol w:w="2606"/>
      </w:tblGrid>
      <w:tr>
        <w:trPr>
          <w:tblHeader/>
        </w:trPr>
        <w:tc>
          <w:tcPr>
            <w:tcW w:type="dxa" w:w="78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3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验收内容</w:t>
            </w:r>
          </w:p>
        </w:tc>
        <w:tc>
          <w:tcPr>
            <w:tcW w:type="dxa" w:w="42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验收方式</w:t>
            </w:r>
          </w:p>
        </w:tc>
        <w:tc>
          <w:tcPr>
            <w:tcW w:type="dxa" w:w="62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通过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有条件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不通过</w:t>
            </w:r>
          </w:p>
        </w:tc>
        <w:tc>
          <w:tcPr>
            <w:tcW w:type="dxa" w:w="2606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班级、年级、课程信息录入、批量导入导出正常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现场批量导入并导出核对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2.2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教师、教室资源信息录入、批量导入导出正常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2.3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教师任教科目、课时标准绑定人事数据，自动同步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在人事侧修改后查看排课侧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2.4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教学资源台账可查询、筛选、导出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现场检索并导出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28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（二）排课核心功能</w:t>
      </w:r>
    </w:p>
    <w:tbl>
      <w:tblPr>
        <w:tblW w:type="dxa" w:w="1390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7CDD4" w:sz="2"/>
          <w:insideV w:val="single" w:color="C7CDD4" w:sz="2"/>
        </w:tblBorders>
      </w:tblPr>
      <w:tblGrid>
        <w:gridCol w:w="780"/>
        <w:gridCol w:w="4300"/>
        <w:gridCol w:w="4200"/>
        <w:gridCol w:w="620"/>
        <w:gridCol w:w="700"/>
        <w:gridCol w:w="700"/>
        <w:gridCol w:w="2606"/>
      </w:tblGrid>
      <w:tr>
        <w:trPr>
          <w:tblHeader/>
        </w:trPr>
        <w:tc>
          <w:tcPr>
            <w:tcW w:type="dxa" w:w="78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3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验收内容</w:t>
            </w:r>
          </w:p>
        </w:tc>
        <w:tc>
          <w:tcPr>
            <w:tcW w:type="dxa" w:w="42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验收方式</w:t>
            </w:r>
          </w:p>
        </w:tc>
        <w:tc>
          <w:tcPr>
            <w:tcW w:type="dxa" w:w="62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通过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有条件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不通过</w:t>
            </w:r>
          </w:p>
        </w:tc>
        <w:tc>
          <w:tcPr>
            <w:tcW w:type="dxa" w:w="2606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2.5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智能自动排课可用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现场对一个年级执行自动排课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2.6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可设置课时冲突规则（教师、班级、教室不重复）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查看排课结果无冲突；或人为制造冲突验证拦截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2.7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可设置教师连排、班级课程限制规则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在排课规则中设置并查看生效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2.8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手动调课、临时换课、停课操作完整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现场分别执行三种操作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2.9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生成电子课表，支持按教师、班级、年级查看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现场切换三个维度查看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2.10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课表 Excel 导出正常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现场导出并打开文件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2.11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课表 PDF 导出、打印正常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现场导出并打印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28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（三）调课审批流程</w:t>
      </w:r>
    </w:p>
    <w:tbl>
      <w:tblPr>
        <w:tblW w:type="dxa" w:w="1390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7CDD4" w:sz="2"/>
          <w:insideV w:val="single" w:color="C7CDD4" w:sz="2"/>
        </w:tblBorders>
      </w:tblPr>
      <w:tblGrid>
        <w:gridCol w:w="780"/>
        <w:gridCol w:w="4300"/>
        <w:gridCol w:w="4200"/>
        <w:gridCol w:w="620"/>
        <w:gridCol w:w="700"/>
        <w:gridCol w:w="700"/>
        <w:gridCol w:w="2606"/>
      </w:tblGrid>
      <w:tr>
        <w:trPr>
          <w:tblHeader/>
        </w:trPr>
        <w:tc>
          <w:tcPr>
            <w:tcW w:type="dxa" w:w="78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3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验收内容</w:t>
            </w:r>
          </w:p>
        </w:tc>
        <w:tc>
          <w:tcPr>
            <w:tcW w:type="dxa" w:w="42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验收方式</w:t>
            </w:r>
          </w:p>
        </w:tc>
        <w:tc>
          <w:tcPr>
            <w:tcW w:type="dxa" w:w="62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通过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有条件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不通过</w:t>
            </w:r>
          </w:p>
        </w:tc>
        <w:tc>
          <w:tcPr>
            <w:tcW w:type="dxa" w:w="2606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2.12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教师可线上发起调课、代课申请，推送教务处负责人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以教师账号发起申请，确认教务处收到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2.13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流程支持驳回、修改重提、抄送相关教师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现场分别演示三种操作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2.14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全程记录溯源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查看审批单的完整时间线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2.15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审批通过后课表自动更新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审批通过后查看课表是否已变更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2.16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系统消息实时提醒相关人员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观察相关教师端是否收到提醒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28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（四）教学统计与联动</w:t>
      </w:r>
    </w:p>
    <w:tbl>
      <w:tblPr>
        <w:tblW w:type="dxa" w:w="1390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7CDD4" w:sz="2"/>
          <w:insideV w:val="single" w:color="C7CDD4" w:sz="2"/>
        </w:tblBorders>
      </w:tblPr>
      <w:tblGrid>
        <w:gridCol w:w="780"/>
        <w:gridCol w:w="4300"/>
        <w:gridCol w:w="4200"/>
        <w:gridCol w:w="620"/>
        <w:gridCol w:w="700"/>
        <w:gridCol w:w="700"/>
        <w:gridCol w:w="2606"/>
      </w:tblGrid>
      <w:tr>
        <w:trPr>
          <w:tblHeader/>
        </w:trPr>
        <w:tc>
          <w:tcPr>
            <w:tcW w:type="dxa" w:w="78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3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验收内容</w:t>
            </w:r>
          </w:p>
        </w:tc>
        <w:tc>
          <w:tcPr>
            <w:tcW w:type="dxa" w:w="42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验收方式</w:t>
            </w:r>
          </w:p>
        </w:tc>
        <w:tc>
          <w:tcPr>
            <w:tcW w:type="dxa" w:w="62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通过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有条件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不通过</w:t>
            </w:r>
          </w:p>
        </w:tc>
        <w:tc>
          <w:tcPr>
            <w:tcW w:type="dxa" w:w="2606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2.17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教师课时统计自动生成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查看任一教师的课时统计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2.18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周/月教学工作量台账自动生成、可导出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现场导出周报表与月报表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2.19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课时数据自动同步至工资核算模块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新增一节已完成课次，查看工资单课时工资变化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2.20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排课操作、课表修改、调课审批完整日志留存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查看操作日志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28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（五）安全与权限</w:t>
      </w:r>
    </w:p>
    <w:tbl>
      <w:tblPr>
        <w:tblW w:type="dxa" w:w="1390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7CDD4" w:sz="2"/>
          <w:insideV w:val="single" w:color="C7CDD4" w:sz="2"/>
        </w:tblBorders>
      </w:tblPr>
      <w:tblGrid>
        <w:gridCol w:w="780"/>
        <w:gridCol w:w="4300"/>
        <w:gridCol w:w="4200"/>
        <w:gridCol w:w="620"/>
        <w:gridCol w:w="700"/>
        <w:gridCol w:w="700"/>
        <w:gridCol w:w="2606"/>
      </w:tblGrid>
      <w:tr>
        <w:trPr>
          <w:tblHeader/>
        </w:trPr>
        <w:tc>
          <w:tcPr>
            <w:tcW w:type="dxa" w:w="78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3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验收内容</w:t>
            </w:r>
          </w:p>
        </w:tc>
        <w:tc>
          <w:tcPr>
            <w:tcW w:type="dxa" w:w="42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验收方式</w:t>
            </w:r>
          </w:p>
        </w:tc>
        <w:tc>
          <w:tcPr>
            <w:tcW w:type="dxa" w:w="62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通过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有条件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不通过</w:t>
            </w:r>
          </w:p>
        </w:tc>
        <w:tc>
          <w:tcPr>
            <w:tcW w:type="dxa" w:w="2606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2.21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教务处拥有全部排课编辑权限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以教务账号登录操作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2.22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教师仅可查看本人课表、发起调课申请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以教师账号登录，确认无编辑权限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2.23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课表数据定期自动备份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查看备份记录与备份文件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28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（六）资料与培训</w:t>
      </w:r>
    </w:p>
    <w:tbl>
      <w:tblPr>
        <w:tblW w:type="dxa" w:w="1390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7CDD4" w:sz="2"/>
          <w:insideV w:val="single" w:color="C7CDD4" w:sz="2"/>
        </w:tblBorders>
      </w:tblPr>
      <w:tblGrid>
        <w:gridCol w:w="780"/>
        <w:gridCol w:w="4300"/>
        <w:gridCol w:w="4200"/>
        <w:gridCol w:w="620"/>
        <w:gridCol w:w="700"/>
        <w:gridCol w:w="700"/>
        <w:gridCol w:w="2606"/>
      </w:tblGrid>
      <w:tr>
        <w:trPr>
          <w:tblHeader/>
        </w:trPr>
        <w:tc>
          <w:tcPr>
            <w:tcW w:type="dxa" w:w="78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3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验收内容</w:t>
            </w:r>
          </w:p>
        </w:tc>
        <w:tc>
          <w:tcPr>
            <w:tcW w:type="dxa" w:w="42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验收方式</w:t>
            </w:r>
          </w:p>
        </w:tc>
        <w:tc>
          <w:tcPr>
            <w:tcW w:type="dxa" w:w="62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通过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有条件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不通过</w:t>
            </w:r>
          </w:p>
        </w:tc>
        <w:tc>
          <w:tcPr>
            <w:tcW w:type="dxa" w:w="2606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2.24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排课模块操作手册、运维文档齐全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查阅文档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2.25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教务人员实操培训完成，具备独立排课、调课、数据导出能力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由教务人员现场独立操作一遍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28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Bdr>
          <w:bottom w:val="single" w:color="D0D5DB" w:sz="6"/>
        </w:pBdr>
        <w:spacing w:after="160" w:before="10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Style w:val="Heading1"/>
        <w:spacing w:after="160" w:before="3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三、工资结算模块</w:t>
      </w:r>
    </w:p>
    <w:p>
      <w:pPr>
        <w:pBdr>
          <w:left w:val="single" w:color="4A7FD4" w:sz="12" w:space="12"/>
        </w:pBdr>
        <w:shd w:fill="F4F7FB" w:color="auto" w:val="clear"/>
        <w:spacing w:after="60" w:before="60" w:line="280"/>
        <w:ind w:left="300"/>
      </w:pPr>
      <w:r>
        <w:rPr>
          <w:rFonts w:ascii="宋体" w:cs="宋体" w:eastAsia="宋体" w:hAnsi="宋体"/>
          <w:b/>
          <w:bCs/>
          <w:sz w:val="20"/>
          <w:szCs w:val="20"/>
        </w:rPr>
        <w:t xml:space="preserve">本模块范围说明</w:t>
      </w:r>
    </w:p>
    <w:p>
      <w:pPr>
        <w:pBdr>
          <w:left w:val="single" w:color="4A7FD4" w:sz="12" w:space="12"/>
        </w:pBdr>
        <w:shd w:fill="F4F7FB" w:color="auto" w:val="clear"/>
        <w:spacing w:after="60" w:before="60" w:line="280"/>
        <w:ind w:left="30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系统结算至</w:t>
      </w: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「应发工资」</w:t>
      </w: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为止，逐项列示基本工资、课时工资、考核工资、兼岗津贴、校龄津贴、住房补贴及特殊奖扣，并标明每一项的计算依据。</w:t>
      </w:r>
    </w:p>
    <w:p>
      <w:pPr>
        <w:pBdr>
          <w:left w:val="single" w:color="4A7FD4" w:sz="12" w:space="12"/>
        </w:pBdr>
        <w:shd w:fill="F4F7FB" w:color="auto" w:val="clear"/>
        <w:spacing w:after="60" w:before="60" w:line="280"/>
        <w:ind w:left="300"/>
      </w:pPr>
      <w:r>
        <w:rPr>
          <w:rFonts w:ascii="宋体" w:cs="宋体" w:eastAsia="宋体" w:hAnsi="宋体"/>
          <w:b/>
          <w:bCs/>
          <w:sz w:val="20"/>
          <w:szCs w:val="20"/>
        </w:rPr>
        <w:t xml:space="preserve">个人所得税、社会保险等代扣项由学校财务线下处理，不纳入系统范围。</w:t>
      </w: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 系统提供应发工资明细表导出，供财务作为后续处理的依据。</w:t>
      </w:r>
    </w:p>
    <w:p>
      <w:pPr>
        <w:pBdr>
          <w:left w:val="single" w:color="4A7FD4" w:sz="12" w:space="12"/>
        </w:pBdr>
        <w:shd w:fill="F4F7FB" w:color="auto" w:val="clear"/>
        <w:spacing w:after="60" w:before="60" w:line="280"/>
        <w:ind w:left="30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因此本模块的核对重点是：各薪资项目是否符合《深圳市富源学校薪酬制度》，以及应发合计是否与财务手工核算表一致。</w:t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（一）薪资基础配置</w:t>
      </w:r>
    </w:p>
    <w:tbl>
      <w:tblPr>
        <w:tblW w:type="dxa" w:w="1390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7CDD4" w:sz="2"/>
          <w:insideV w:val="single" w:color="C7CDD4" w:sz="2"/>
        </w:tblBorders>
      </w:tblPr>
      <w:tblGrid>
        <w:gridCol w:w="780"/>
        <w:gridCol w:w="4300"/>
        <w:gridCol w:w="4200"/>
        <w:gridCol w:w="620"/>
        <w:gridCol w:w="700"/>
        <w:gridCol w:w="700"/>
        <w:gridCol w:w="2606"/>
      </w:tblGrid>
      <w:tr>
        <w:trPr>
          <w:tblHeader/>
        </w:trPr>
        <w:tc>
          <w:tcPr>
            <w:tcW w:type="dxa" w:w="78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3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验收内容</w:t>
            </w:r>
          </w:p>
        </w:tc>
        <w:tc>
          <w:tcPr>
            <w:tcW w:type="dxa" w:w="42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验收方式</w:t>
            </w:r>
          </w:p>
        </w:tc>
        <w:tc>
          <w:tcPr>
            <w:tcW w:type="dxa" w:w="62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通过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有条件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不通过</w:t>
            </w:r>
          </w:p>
        </w:tc>
        <w:tc>
          <w:tcPr>
            <w:tcW w:type="dxa" w:w="2606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薪资项目可自定义设置：基本工资、课时费、补贴、绩效、扣款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查看薪资配置页各项目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3.2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薪资标准绑定岗位、职称、课时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修改一项标准，查看工资单相应变化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3.3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自动读取排课课时数据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查看工资单课时工资的计算依据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3.4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薪资核算周期设置正常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查看核算月份设置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3.5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月度薪资台账归档功能正常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查询往期月份台账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28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（二）工资核算核心功能</w:t>
      </w:r>
    </w:p>
    <w:tbl>
      <w:tblPr>
        <w:tblW w:type="dxa" w:w="1390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7CDD4" w:sz="2"/>
          <w:insideV w:val="single" w:color="C7CDD4" w:sz="2"/>
        </w:tblBorders>
      </w:tblPr>
      <w:tblGrid>
        <w:gridCol w:w="780"/>
        <w:gridCol w:w="4300"/>
        <w:gridCol w:w="4200"/>
        <w:gridCol w:w="620"/>
        <w:gridCol w:w="700"/>
        <w:gridCol w:w="700"/>
        <w:gridCol w:w="2606"/>
      </w:tblGrid>
      <w:tr>
        <w:trPr>
          <w:tblHeader/>
        </w:trPr>
        <w:tc>
          <w:tcPr>
            <w:tcW w:type="dxa" w:w="78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3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验收内容</w:t>
            </w:r>
          </w:p>
        </w:tc>
        <w:tc>
          <w:tcPr>
            <w:tcW w:type="dxa" w:w="42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验收方式</w:t>
            </w:r>
          </w:p>
        </w:tc>
        <w:tc>
          <w:tcPr>
            <w:tcW w:type="dxa" w:w="62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通过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有条件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不通过</w:t>
            </w:r>
          </w:p>
        </w:tc>
        <w:tc>
          <w:tcPr>
            <w:tcW w:type="dxa" w:w="2606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3.6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自动读取人事基础信息、排课课时数据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查看工资单各项的计算依据说明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3.7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一键批量核算当月工资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现场执行批量核算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3.8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支持手动微调单个教职工薪资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现场调整一笔特殊奖扣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3.9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手动修改操作留日志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查看该次修改的审计记录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3.10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自动计算应发工资，各薪资项目逐项列示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逐项对照《薪酬制度》核对一张工资单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3.11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工资单标明每一项的计算依据（档位、标准、系数、课次数量）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查看工资单各行的计算依据说明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3.12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应发工资计算结果与财务手工核算表一致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选定一个自然月做平行核对，差异逐条归因后为零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28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（三）发放与确认流程</w:t>
      </w:r>
    </w:p>
    <w:tbl>
      <w:tblPr>
        <w:tblW w:type="dxa" w:w="1390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7CDD4" w:sz="2"/>
          <w:insideV w:val="single" w:color="C7CDD4" w:sz="2"/>
        </w:tblBorders>
      </w:tblPr>
      <w:tblGrid>
        <w:gridCol w:w="780"/>
        <w:gridCol w:w="4300"/>
        <w:gridCol w:w="4200"/>
        <w:gridCol w:w="620"/>
        <w:gridCol w:w="700"/>
        <w:gridCol w:w="700"/>
        <w:gridCol w:w="2606"/>
      </w:tblGrid>
      <w:tr>
        <w:trPr>
          <w:tblHeader/>
        </w:trPr>
        <w:tc>
          <w:tcPr>
            <w:tcW w:type="dxa" w:w="78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3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验收内容</w:t>
            </w:r>
          </w:p>
        </w:tc>
        <w:tc>
          <w:tcPr>
            <w:tcW w:type="dxa" w:w="42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验收方式</w:t>
            </w:r>
          </w:p>
        </w:tc>
        <w:tc>
          <w:tcPr>
            <w:tcW w:type="dxa" w:w="62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通过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有条件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不通过</w:t>
            </w:r>
          </w:p>
        </w:tc>
        <w:tc>
          <w:tcPr>
            <w:tcW w:type="dxa" w:w="2606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3.13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核算完成后可发起薪资审批（人事、财务复核、校领导审批）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现场走完完整审批流程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3.14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审批通过生成工资台账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查看台账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3.15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支持批量导出应发工资明细表，供财务后续处理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现场导出并打开文件核对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3.16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教职工个人端可查看本人月度应发工资明细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以教师账号登录查看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3.17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支持薪资确认签收与异议提交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以教师账号确认一张工资单，另提交一笔异议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28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（四）薪资报表与归档</w:t>
      </w:r>
    </w:p>
    <w:tbl>
      <w:tblPr>
        <w:tblW w:type="dxa" w:w="1390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7CDD4" w:sz="2"/>
          <w:insideV w:val="single" w:color="C7CDD4" w:sz="2"/>
        </w:tblBorders>
      </w:tblPr>
      <w:tblGrid>
        <w:gridCol w:w="780"/>
        <w:gridCol w:w="4300"/>
        <w:gridCol w:w="4200"/>
        <w:gridCol w:w="620"/>
        <w:gridCol w:w="700"/>
        <w:gridCol w:w="700"/>
        <w:gridCol w:w="2606"/>
      </w:tblGrid>
      <w:tr>
        <w:trPr>
          <w:tblHeader/>
        </w:trPr>
        <w:tc>
          <w:tcPr>
            <w:tcW w:type="dxa" w:w="78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3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验收内容</w:t>
            </w:r>
          </w:p>
        </w:tc>
        <w:tc>
          <w:tcPr>
            <w:tcW w:type="dxa" w:w="42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验收方式</w:t>
            </w:r>
          </w:p>
        </w:tc>
        <w:tc>
          <w:tcPr>
            <w:tcW w:type="dxa" w:w="62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通过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有条件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不通过</w:t>
            </w:r>
          </w:p>
        </w:tc>
        <w:tc>
          <w:tcPr>
            <w:tcW w:type="dxa" w:w="2606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3.18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月度薪资汇总报表可导出打印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现场导出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3.19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年度薪资汇总报表可导出打印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现场导出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3.20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部门（学部）薪资统计报表可导出打印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现场导出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3.21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历史工资数据永久归档，支持往期查询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查询往年月份工资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3.22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修改薪资标准不影响已归档的历史工资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修改标准后查看历史工资单未变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28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（五）数据安全管控</w:t>
      </w:r>
    </w:p>
    <w:tbl>
      <w:tblPr>
        <w:tblW w:type="dxa" w:w="1390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7CDD4" w:sz="2"/>
          <w:insideV w:val="single" w:color="C7CDD4" w:sz="2"/>
        </w:tblBorders>
      </w:tblPr>
      <w:tblGrid>
        <w:gridCol w:w="780"/>
        <w:gridCol w:w="4300"/>
        <w:gridCol w:w="4200"/>
        <w:gridCol w:w="620"/>
        <w:gridCol w:w="700"/>
        <w:gridCol w:w="700"/>
        <w:gridCol w:w="2606"/>
      </w:tblGrid>
      <w:tr>
        <w:trPr>
          <w:tblHeader/>
        </w:trPr>
        <w:tc>
          <w:tcPr>
            <w:tcW w:type="dxa" w:w="78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3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验收内容</w:t>
            </w:r>
          </w:p>
        </w:tc>
        <w:tc>
          <w:tcPr>
            <w:tcW w:type="dxa" w:w="42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验收方式</w:t>
            </w:r>
          </w:p>
        </w:tc>
        <w:tc>
          <w:tcPr>
            <w:tcW w:type="dxa" w:w="62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通过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有条件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不通过</w:t>
            </w:r>
          </w:p>
        </w:tc>
        <w:tc>
          <w:tcPr>
            <w:tcW w:type="dxa" w:w="2606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3.23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财务、人事核算岗可按管辖范围查看薪资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以各财务账号登录对比可见范围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3.24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教职工仅可查看本人工资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以教师账号尝试访问他人工资被拒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3.25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薪资数据加密存储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在数据库中查看工资金额字段为密文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3.26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薪资数据定期自动备份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查看备份记录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3.27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薪资修改、核算、导出操作生成不可删除的操作日志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查看日志，并尝试删除确认无法删除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28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（六）资料与培训</w:t>
      </w:r>
    </w:p>
    <w:tbl>
      <w:tblPr>
        <w:tblW w:type="dxa" w:w="1390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7CDD4" w:sz="2"/>
          <w:insideV w:val="single" w:color="C7CDD4" w:sz="2"/>
        </w:tblBorders>
      </w:tblPr>
      <w:tblGrid>
        <w:gridCol w:w="780"/>
        <w:gridCol w:w="4300"/>
        <w:gridCol w:w="4200"/>
        <w:gridCol w:w="620"/>
        <w:gridCol w:w="700"/>
        <w:gridCol w:w="700"/>
        <w:gridCol w:w="2606"/>
      </w:tblGrid>
      <w:tr>
        <w:trPr>
          <w:tblHeader/>
        </w:trPr>
        <w:tc>
          <w:tcPr>
            <w:tcW w:type="dxa" w:w="78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3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验收内容</w:t>
            </w:r>
          </w:p>
        </w:tc>
        <w:tc>
          <w:tcPr>
            <w:tcW w:type="dxa" w:w="42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验收方式</w:t>
            </w:r>
          </w:p>
        </w:tc>
        <w:tc>
          <w:tcPr>
            <w:tcW w:type="dxa" w:w="62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通过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有条件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不通过</w:t>
            </w:r>
          </w:p>
        </w:tc>
        <w:tc>
          <w:tcPr>
            <w:tcW w:type="dxa" w:w="2606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3.28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薪资核算操作手册、财务对账指引文档齐全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查阅文档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3.29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财务、人事核算人员专项培训完成，可独立完成月度核算对账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由财务人员现场独立操作一遍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28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Bdr>
          <w:bottom w:val="single" w:color="D0D5DB" w:sz="6"/>
        </w:pBdr>
        <w:spacing w:after="160" w:before="10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Style w:val="Heading1"/>
        <w:spacing w:after="160" w:before="3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四、三大模块联动</w:t>
      </w:r>
    </w:p>
    <w:tbl>
      <w:tblPr>
        <w:tblW w:type="dxa" w:w="1390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7CDD4" w:sz="2"/>
          <w:insideV w:val="single" w:color="C7CDD4" w:sz="2"/>
        </w:tblBorders>
      </w:tblPr>
      <w:tblGrid>
        <w:gridCol w:w="780"/>
        <w:gridCol w:w="4300"/>
        <w:gridCol w:w="4200"/>
        <w:gridCol w:w="620"/>
        <w:gridCol w:w="700"/>
        <w:gridCol w:w="700"/>
        <w:gridCol w:w="2606"/>
      </w:tblGrid>
      <w:tr>
        <w:trPr>
          <w:tblHeader/>
        </w:trPr>
        <w:tc>
          <w:tcPr>
            <w:tcW w:type="dxa" w:w="78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3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验收内容</w:t>
            </w:r>
          </w:p>
        </w:tc>
        <w:tc>
          <w:tcPr>
            <w:tcW w:type="dxa" w:w="42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验收方式</w:t>
            </w:r>
          </w:p>
        </w:tc>
        <w:tc>
          <w:tcPr>
            <w:tcW w:type="dxa" w:w="62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通过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有条件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不通过</w:t>
            </w:r>
          </w:p>
        </w:tc>
        <w:tc>
          <w:tcPr>
            <w:tcW w:type="dxa" w:w="2606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人事→排课：教师信息、任教科目实时同步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人事侧修改后立即查看排课侧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4.2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排课→工资：课时工作量自动同步，无需重复录入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新增课次后查看工资单变化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4.3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人事→工资：岗位、职称、入职信息自动带入薪资标准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修改职称后查看工资单基本工资档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4.4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三大模块共用一套组织架构与角色权限，无权限冲突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以各角色账号登录逐一验证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跨模块数据修改、流程流转消息实时推送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消息到达时间不超过 5 秒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4.6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系统响应无卡顿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列表查询不超过 2 秒，报表导出不超过 10 秒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28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Bdr>
          <w:bottom w:val="single" w:color="D0D5DB" w:sz="6"/>
        </w:pBdr>
        <w:spacing w:after="160" w:before="10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Style w:val="Heading1"/>
        <w:spacing w:after="160" w:before="3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五、源代码</w:t>
      </w:r>
    </w:p>
    <w:tbl>
      <w:tblPr>
        <w:tblW w:type="dxa" w:w="1390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7CDD4" w:sz="2"/>
          <w:insideV w:val="single" w:color="C7CDD4" w:sz="2"/>
        </w:tblBorders>
      </w:tblPr>
      <w:tblGrid>
        <w:gridCol w:w="780"/>
        <w:gridCol w:w="4300"/>
        <w:gridCol w:w="4200"/>
        <w:gridCol w:w="620"/>
        <w:gridCol w:w="700"/>
        <w:gridCol w:w="700"/>
        <w:gridCol w:w="2606"/>
      </w:tblGrid>
      <w:tr>
        <w:trPr>
          <w:tblHeader/>
        </w:trPr>
        <w:tc>
          <w:tcPr>
            <w:tcW w:type="dxa" w:w="78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3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验收内容</w:t>
            </w:r>
          </w:p>
        </w:tc>
        <w:tc>
          <w:tcPr>
            <w:tcW w:type="dxa" w:w="42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验收方式</w:t>
            </w:r>
          </w:p>
        </w:tc>
        <w:tc>
          <w:tcPr>
            <w:tcW w:type="dxa" w:w="62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通过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有条件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不通过</w:t>
            </w:r>
          </w:p>
        </w:tc>
        <w:tc>
          <w:tcPr>
            <w:tcW w:type="dxa" w:w="2606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5.1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交付人事、排课、工资结算、OA 审批全部模块源代码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查阅源码目录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5.2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源码无加密、无混淆、无删减核心业务代码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现场随机抽查文件查看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5.3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第三方开源组件附授权说明，无侵权风险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查阅授权说明文档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5.4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代码分层清晰，人事、课时、薪资核心业务逻辑单独封装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查阅代码结构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5.5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核心业务逻辑含注释，命名规范统一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现场抽查薪资计算、课时计算模块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5.6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交付完整源码包与版本管理记录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查验源码包与版本库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5.7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区分前端、后端、脚本，完整交付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查阅交付清单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5.8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交付代码架构说明、模块调用关系文档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查阅文档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5.9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交付跨模块接口文档（人事/排课/薪资交互）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查阅文档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5.10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现场基于交付源码完成全新部署并正常运行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现场实测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28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Bdr>
          <w:bottom w:val="single" w:color="D0D5DB" w:sz="6"/>
        </w:pBdr>
        <w:spacing w:after="160" w:before="10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Style w:val="Heading1"/>
        <w:spacing w:after="160" w:before="3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六、安装部署</w:t>
      </w:r>
    </w:p>
    <w:tbl>
      <w:tblPr>
        <w:tblW w:type="dxa" w:w="1390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7CDD4" w:sz="2"/>
          <w:insideV w:val="single" w:color="C7CDD4" w:sz="2"/>
        </w:tblBorders>
      </w:tblPr>
      <w:tblGrid>
        <w:gridCol w:w="780"/>
        <w:gridCol w:w="4300"/>
        <w:gridCol w:w="4200"/>
        <w:gridCol w:w="620"/>
        <w:gridCol w:w="700"/>
        <w:gridCol w:w="700"/>
        <w:gridCol w:w="2606"/>
      </w:tblGrid>
      <w:tr>
        <w:trPr>
          <w:tblHeader/>
        </w:trPr>
        <w:tc>
          <w:tcPr>
            <w:tcW w:type="dxa" w:w="78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3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验收内容</w:t>
            </w:r>
          </w:p>
        </w:tc>
        <w:tc>
          <w:tcPr>
            <w:tcW w:type="dxa" w:w="42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验收方式</w:t>
            </w:r>
          </w:p>
        </w:tc>
        <w:tc>
          <w:tcPr>
            <w:tcW w:type="dxa" w:w="62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通过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有条件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不通过</w:t>
            </w:r>
          </w:p>
        </w:tc>
        <w:tc>
          <w:tcPr>
            <w:tcW w:type="dxa" w:w="2606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6.1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交付部署手册，明确服务器配置、操作系统、运行环境版本、端口规划、内存磁盘标准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查阅文档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6.2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交付标准化部署脚本，支持全新服务器从零部署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现场执行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6.3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部署脚本涵盖环境依赖安装、服务配置、系统初始化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现场执行观察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6.4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交付服务启停脚本，支持开机自启、定时重启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现场执行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6.5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提供测试环境、生产环境两套配置文件，可快速切换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现场切换演示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6.6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交付运维手册：启停、日志查看、异常排查、故障隔离流程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查阅文档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6.7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清空测试服务器，依据部署文档从零完整部署全模块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现场实测</w:t>
            </w: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：部署后系统可正常登录，各业务功能可用，无环境依赖缺失报错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6.8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交付服务器迁移、系统迁移操作方案，含停机迁移与数据迁移步骤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查阅文档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28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Bdr>
          <w:bottom w:val="single" w:color="D0D5DB" w:sz="6"/>
        </w:pBdr>
        <w:spacing w:after="160" w:before="10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Style w:val="Heading1"/>
        <w:spacing w:after="160" w:before="3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七、数据库</w:t>
      </w:r>
    </w:p>
    <w:tbl>
      <w:tblPr>
        <w:tblW w:type="dxa" w:w="1390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7CDD4" w:sz="2"/>
          <w:insideV w:val="single" w:color="C7CDD4" w:sz="2"/>
        </w:tblBorders>
      </w:tblPr>
      <w:tblGrid>
        <w:gridCol w:w="780"/>
        <w:gridCol w:w="4300"/>
        <w:gridCol w:w="4200"/>
        <w:gridCol w:w="620"/>
        <w:gridCol w:w="700"/>
        <w:gridCol w:w="700"/>
        <w:gridCol w:w="2606"/>
      </w:tblGrid>
      <w:tr>
        <w:trPr>
          <w:tblHeader/>
        </w:trPr>
        <w:tc>
          <w:tcPr>
            <w:tcW w:type="dxa" w:w="78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3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验收内容</w:t>
            </w:r>
          </w:p>
        </w:tc>
        <w:tc>
          <w:tcPr>
            <w:tcW w:type="dxa" w:w="42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验收方式</w:t>
            </w:r>
          </w:p>
        </w:tc>
        <w:tc>
          <w:tcPr>
            <w:tcW w:type="dxa" w:w="62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通过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有条件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不通过</w:t>
            </w:r>
          </w:p>
        </w:tc>
        <w:tc>
          <w:tcPr>
            <w:tcW w:type="dxa" w:w="2606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7.1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明确数据库类型与版本，统一字符集与排序规则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查看数据库配置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7.2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人事、排课、工资业务分表存储，表结构合理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查看表清单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7.3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交付数据库设计文档：ER 图、各业务表结构说明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查阅文档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7.4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设计文档标注字段用途、数据类型、约束条件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查阅文档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7.5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教师主键在人事、排课、工资三类业务表中统一关联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查看表关联关系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7.6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建立外键约束，删除教职工时配套课时、薪资数据有保护机制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在数据库中直接执行删除，确认被拒绝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7.7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教职工姓名、工号、班级、核算月份、课时日期等高频字段建立索引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查看索引清单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7.8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多条件查询、报表导出无长时间卡顿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现场执行并计时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7.9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支持全量备份与增量定时备份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查看备份配置与备份文件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7.10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交付一键备份、一键恢复脚本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现场执行备份与恢复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7.11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支持按时间点恢复人事档案、课表、历史工资数据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现场演示恢复到指定时间点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7.12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区分系统程序账号与管理员运维账号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查看账号清单与权限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7.13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薪资、人事敏感数据表访问权限隔离，普通运维账号无法直接读写薪资表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以运维账号尝试读写薪资表，确认被拒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7.14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数据库操作日志已开启，记录数据表增删改查操作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执行一次操作后查看数据库日志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7.15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敏感薪资、人事档案修改可溯源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查看日志内容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7.16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工资金额、身份证、合同等敏感字段加密存储，不可明文读取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在数据库中直接查询该字段，确认为密文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28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Bdr>
          <w:bottom w:val="single" w:color="D0D5DB" w:sz="6"/>
        </w:pBdr>
        <w:spacing w:after="160" w:before="10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Style w:val="Heading1"/>
        <w:spacing w:after="160" w:before="3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八、账套</w:t>
      </w:r>
    </w:p>
    <w:tbl>
      <w:tblPr>
        <w:tblW w:type="dxa" w:w="1390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7CDD4" w:sz="2"/>
          <w:insideV w:val="single" w:color="C7CDD4" w:sz="2"/>
        </w:tblBorders>
      </w:tblPr>
      <w:tblGrid>
        <w:gridCol w:w="780"/>
        <w:gridCol w:w="4300"/>
        <w:gridCol w:w="4200"/>
        <w:gridCol w:w="620"/>
        <w:gridCol w:w="700"/>
        <w:gridCol w:w="700"/>
        <w:gridCol w:w="2606"/>
      </w:tblGrid>
      <w:tr>
        <w:trPr>
          <w:tblHeader/>
        </w:trPr>
        <w:tc>
          <w:tcPr>
            <w:tcW w:type="dxa" w:w="78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3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验收内容</w:t>
            </w:r>
          </w:p>
        </w:tc>
        <w:tc>
          <w:tcPr>
            <w:tcW w:type="dxa" w:w="42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验收方式</w:t>
            </w:r>
          </w:p>
        </w:tc>
        <w:tc>
          <w:tcPr>
            <w:tcW w:type="dxa" w:w="62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通过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有条件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不通过</w:t>
            </w:r>
          </w:p>
        </w:tc>
        <w:tc>
          <w:tcPr>
            <w:tcW w:type="dxa" w:w="2606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8.1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内置人事档案、教学课时、薪资财务三套独立业务账套，数据隔离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查看三套账套的数据边界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8.2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支持账套独立归档、独立备份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现场执行单账套备份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8.3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新建学年、新核算月份可一键初始化对应账套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现场新建一个学年账套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8.4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初始化时自动结转历史教职工基础信息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查看新账套是否已带入人员信息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8.5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初始化不清除往年工资、历史课表归档数据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查询往年数据仍可访问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8.6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人事账套：每年自动结转教职工档案，区分在职/离职台账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查看在职与离职分列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8.7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排课课时账套：按学年独立存储课表与课时工作量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查看不同学年的课表互不干扰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8.8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工资财务账套：按自然月生成独立薪资账套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查看各月账套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8.9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每月工资审批完成后自动锁定当月薪资账套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审批完成后尝试修改，确认被拒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8.10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账套解锁需多级审批，解锁操作留完整日志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现场走一次解锁审批并查看日志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8.11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学年结束自动归档锁定当年排课账套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查看归档状态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8.12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人事在岗人数与当月核算工资人数自动校验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查看校验结果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8.13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排课总课时与薪资课时费自动对账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查看对账结果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8.14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出现差异时自动生成差异台账提醒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人为制造差异后查看提醒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8.15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往年人事档案、历年课表、往年月度工资账套支持跨年度检索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现场跨年度检索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8.16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支持批量导出审计报表，归档文件可离线保存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现场导出并离线打开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8.17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支持单账套导出备份、导入恢复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现场执行导出与恢复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8.18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更换服务器时可完整迁移全部历史人事、课时、工资账套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查阅迁移方案并演示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28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Bdr>
          <w:bottom w:val="single" w:color="D0D5DB" w:sz="6"/>
        </w:pBdr>
        <w:spacing w:after="160" w:before="10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Style w:val="Heading1"/>
        <w:spacing w:after="160" w:before="3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九、资料、培训与测试记录</w:t>
      </w:r>
    </w:p>
    <w:tbl>
      <w:tblPr>
        <w:tblW w:type="dxa" w:w="1390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7CDD4" w:sz="2"/>
          <w:insideV w:val="single" w:color="C7CDD4" w:sz="2"/>
        </w:tblBorders>
      </w:tblPr>
      <w:tblGrid>
        <w:gridCol w:w="780"/>
        <w:gridCol w:w="4300"/>
        <w:gridCol w:w="4200"/>
        <w:gridCol w:w="620"/>
        <w:gridCol w:w="700"/>
        <w:gridCol w:w="700"/>
        <w:gridCol w:w="2606"/>
      </w:tblGrid>
      <w:tr>
        <w:trPr>
          <w:tblHeader/>
        </w:trPr>
        <w:tc>
          <w:tcPr>
            <w:tcW w:type="dxa" w:w="78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3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验收内容</w:t>
            </w:r>
          </w:p>
        </w:tc>
        <w:tc>
          <w:tcPr>
            <w:tcW w:type="dxa" w:w="42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验收方式</w:t>
            </w:r>
          </w:p>
        </w:tc>
        <w:tc>
          <w:tcPr>
            <w:tcW w:type="dxa" w:w="62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通过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有条件</w:t>
            </w:r>
          </w:p>
        </w:tc>
        <w:tc>
          <w:tcPr>
            <w:tcW w:type="dxa" w:w="7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不通过</w:t>
            </w:r>
          </w:p>
        </w:tc>
        <w:tc>
          <w:tcPr>
            <w:tcW w:type="dxa" w:w="2606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9.1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人事模块操作手册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查阅文档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9.2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排课模块操作手册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查阅文档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9.3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工资结算模块操作手册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查阅文档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9.4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管理员运维文档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查阅文档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9.5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源码说明文档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查阅文档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9.6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部署手册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查阅文档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9.7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数据库设计文档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查阅文档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9.8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账套操作手册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查阅文档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9.9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人事岗培训完成，有签到与记录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查阅培训记录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9.10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教务岗培训完成，有签到与记录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查阅培训记录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9.11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财务岗培训完成，有签到与记录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查阅培训记录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9.12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系统管理员培训完成，有签到与记录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查阅培训记录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9.13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全模块功能测试报告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查阅文档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9.14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试运行记录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查阅文档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9.15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问题整改台账完整闭环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查阅台账，确认问题均已闭环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6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28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Bdr>
          <w:bottom w:val="single" w:color="D0D5DB" w:sz="6"/>
        </w:pBdr>
        <w:spacing w:after="160" w:before="10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Style w:val="Heading1"/>
        <w:spacing w:after="160" w:before="3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十、验收前置事项确认</w:t>
      </w:r>
    </w:p>
    <w:p>
      <w:pPr>
        <w:spacing w:after="60" w:before="60" w:line="28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以下事项需在验收前由校方提供，用于确认相关功能的实现口径。</w:t>
      </w:r>
      <w:r>
        <w:rPr>
          <w:rFonts w:ascii="宋体" w:cs="宋体" w:eastAsia="宋体" w:hAnsi="宋体"/>
          <w:b/>
          <w:bCs/>
          <w:sz w:val="20"/>
          <w:szCs w:val="20"/>
        </w:rPr>
        <w:t xml:space="preserve">未提供的，对应验收项标注为「待确认」，不计入不通过：</w:t>
      </w:r>
    </w:p>
    <w:tbl>
      <w:tblPr>
        <w:tblW w:type="dxa" w:w="1390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7CDD4" w:sz="2"/>
          <w:insideV w:val="single" w:color="C7CDD4" w:sz="2"/>
        </w:tblBorders>
      </w:tblPr>
      <w:tblGrid>
        <w:gridCol w:w="780"/>
        <w:gridCol w:w="6400"/>
        <w:gridCol w:w="4300"/>
        <w:gridCol w:w="1240"/>
        <w:gridCol w:w="1186"/>
      </w:tblGrid>
      <w:tr>
        <w:trPr>
          <w:tblHeader/>
        </w:trPr>
        <w:tc>
          <w:tcPr>
            <w:tcW w:type="dxa" w:w="78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64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事项</w:t>
            </w:r>
          </w:p>
        </w:tc>
        <w:tc>
          <w:tcPr>
            <w:tcW w:type="dxa" w:w="43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影响验收项</w:t>
            </w:r>
          </w:p>
        </w:tc>
        <w:tc>
          <w:tcPr>
            <w:tcW w:type="dxa" w:w="124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已提供</w:t>
            </w:r>
          </w:p>
        </w:tc>
        <w:tc>
          <w:tcPr>
            <w:tcW w:type="dxa" w:w="1186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未提供</w:t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10.1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名师津贴执行文件（《薪酬制度》中载明"按学校相关文件执行"）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3.1、3.10</w:t>
            </w:r>
          </w:p>
        </w:tc>
        <w:tc>
          <w:tcPr>
            <w:tcW w:type="dxa" w:w="12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10.2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平行核算比对用的财务手工核算表（应发口径）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3.12</w:t>
            </w:r>
          </w:p>
        </w:tc>
        <w:tc>
          <w:tcPr>
            <w:tcW w:type="dxa" w:w="12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10.3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现场部署实测用测试服务器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6.7</w:t>
            </w:r>
          </w:p>
        </w:tc>
        <w:tc>
          <w:tcPr>
            <w:tcW w:type="dxa" w:w="12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10.4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培训时间、场地与参训人员名单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1.21、2.25、3.29、9.9-9.12</w:t>
            </w:r>
          </w:p>
        </w:tc>
        <w:tc>
          <w:tcPr>
            <w:tcW w:type="dxa" w:w="12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20" w:before="0" w:line="28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Bdr>
          <w:bottom w:val="single" w:color="D0D5DB" w:sz="6"/>
        </w:pBdr>
        <w:spacing w:after="160" w:before="10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Style w:val="Heading1"/>
        <w:spacing w:after="160" w:before="3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十一、验收问题记录</w:t>
      </w:r>
    </w:p>
    <w:tbl>
      <w:tblPr>
        <w:tblW w:type="dxa" w:w="13907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7CDD4" w:sz="2"/>
          <w:insideV w:val="single" w:color="C7CDD4" w:sz="2"/>
        </w:tblBorders>
      </w:tblPr>
      <w:tblGrid>
        <w:gridCol w:w="800"/>
        <w:gridCol w:w="1900"/>
        <w:gridCol w:w="5300"/>
        <w:gridCol w:w="2200"/>
        <w:gridCol w:w="1900"/>
        <w:gridCol w:w="1807"/>
      </w:tblGrid>
      <w:tr>
        <w:trPr>
          <w:tblHeader/>
        </w:trPr>
        <w:tc>
          <w:tcPr>
            <w:tcW w:type="dxa" w:w="8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序号</w:t>
            </w:r>
          </w:p>
        </w:tc>
        <w:tc>
          <w:tcPr>
            <w:tcW w:type="dxa" w:w="19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对应验收项编号</w:t>
            </w:r>
          </w:p>
        </w:tc>
        <w:tc>
          <w:tcPr>
            <w:tcW w:type="dxa" w:w="53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问题描述</w:t>
            </w:r>
          </w:p>
        </w:tc>
        <w:tc>
          <w:tcPr>
            <w:tcW w:type="dxa" w:w="22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严重程度</w:t>
            </w:r>
          </w:p>
        </w:tc>
        <w:tc>
          <w:tcPr>
            <w:tcW w:type="dxa" w:w="19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整改期限</w:t>
            </w:r>
          </w:p>
        </w:tc>
        <w:tc>
          <w:tcPr>
            <w:tcW w:type="dxa" w:w="1807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复验结果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20" w:before="0" w:line="28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Bdr>
          <w:left w:val="single" w:color="4A7FD4" w:sz="12" w:space="12"/>
        </w:pBdr>
        <w:shd w:fill="F4F7FB" w:color="auto" w:val="clear"/>
        <w:spacing w:after="60" w:before="60" w:line="280"/>
        <w:ind w:left="30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严重程度判定参考：</w:t>
      </w:r>
    </w:p>
    <w:p>
      <w:pPr>
        <w:pBdr>
          <w:left w:val="single" w:color="4A7FD4" w:sz="12" w:space="12"/>
        </w:pBdr>
        <w:shd w:fill="F4F7FB" w:color="auto" w:val="clear"/>
        <w:spacing w:after="60" w:before="60" w:line="280"/>
        <w:ind w:left="300"/>
      </w:pPr>
      <w:r>
        <w:rPr>
          <w:rFonts w:ascii="宋体" w:cs="宋体" w:eastAsia="宋体" w:hAnsi="宋体"/>
          <w:b/>
          <w:bCs/>
          <w:sz w:val="20"/>
          <w:szCs w:val="20"/>
        </w:rPr>
        <w:t xml:space="preserve">严重</w:t>
      </w: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 —— 核心业务无法使用，或存在数据错误、安全漏洞</w:t>
      </w:r>
    </w:p>
    <w:p>
      <w:pPr>
        <w:pBdr>
          <w:left w:val="single" w:color="4A7FD4" w:sz="12" w:space="12"/>
        </w:pBdr>
        <w:shd w:fill="F4F7FB" w:color="auto" w:val="clear"/>
        <w:spacing w:after="60" w:before="60" w:line="280"/>
        <w:ind w:left="300"/>
      </w:pPr>
      <w:r>
        <w:rPr>
          <w:rFonts w:ascii="宋体" w:cs="宋体" w:eastAsia="宋体" w:hAnsi="宋体"/>
          <w:b/>
          <w:bCs/>
          <w:sz w:val="20"/>
          <w:szCs w:val="20"/>
        </w:rPr>
        <w:t xml:space="preserve">一般</w:t>
      </w: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 —— 功能可用但存在缺陷，影响使用体验或效率</w:t>
      </w:r>
    </w:p>
    <w:p>
      <w:pPr>
        <w:pBdr>
          <w:left w:val="single" w:color="4A7FD4" w:sz="12" w:space="12"/>
        </w:pBdr>
        <w:shd w:fill="F4F7FB" w:color="auto" w:val="clear"/>
        <w:spacing w:after="60" w:before="60" w:line="280"/>
        <w:ind w:left="300"/>
      </w:pPr>
      <w:r>
        <w:rPr>
          <w:rFonts w:ascii="宋体" w:cs="宋体" w:eastAsia="宋体" w:hAnsi="宋体"/>
          <w:b/>
          <w:bCs/>
          <w:sz w:val="20"/>
          <w:szCs w:val="20"/>
        </w:rPr>
        <w:t xml:space="preserve">轻微</w:t>
      </w: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 —— 界面文字、排版等不影响使用的问题</w:t>
      </w:r>
    </w:p>
    <w:p>
      <w:pPr>
        <w:pBdr>
          <w:bottom w:val="single" w:color="D0D5DB" w:sz="6"/>
        </w:pBdr>
        <w:spacing w:after="160" w:before="10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Style w:val="Heading1"/>
        <w:spacing w:after="160" w:before="30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十二、验收统计与结论</w:t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验收统计</w:t>
      </w:r>
    </w:p>
    <w:tbl>
      <w:tblPr>
        <w:tblW w:type="dxa" w:w="1390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7CDD4" w:sz="2"/>
          <w:insideV w:val="single" w:color="C7CDD4" w:sz="2"/>
        </w:tblBorders>
      </w:tblPr>
      <w:tblGrid>
        <w:gridCol w:w="4106"/>
        <w:gridCol w:w="2000"/>
        <w:gridCol w:w="2000"/>
        <w:gridCol w:w="2000"/>
        <w:gridCol w:w="2000"/>
        <w:gridCol w:w="1800"/>
      </w:tblGrid>
      <w:tr>
        <w:trPr>
          <w:tblHeader/>
        </w:trPr>
        <w:tc>
          <w:tcPr>
            <w:tcW w:type="dxa" w:w="4106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类别</w:t>
            </w:r>
          </w:p>
        </w:tc>
        <w:tc>
          <w:tcPr>
            <w:tcW w:type="dxa" w:w="20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验收项数</w:t>
            </w:r>
          </w:p>
        </w:tc>
        <w:tc>
          <w:tcPr>
            <w:tcW w:type="dxa" w:w="20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通过</w:t>
            </w:r>
          </w:p>
        </w:tc>
        <w:tc>
          <w:tcPr>
            <w:tcW w:type="dxa" w:w="20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有条件通过</w:t>
            </w:r>
          </w:p>
        </w:tc>
        <w:tc>
          <w:tcPr>
            <w:tcW w:type="dxa" w:w="20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不通过</w:t>
            </w:r>
          </w:p>
        </w:tc>
        <w:tc>
          <w:tcPr>
            <w:tcW w:type="dxa" w:w="1800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待确认</w:t>
            </w:r>
          </w:p>
        </w:tc>
      </w:tr>
      <w:tr>
        <w:tc>
          <w:tcPr>
            <w:tcW w:type="dxa" w:w="41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一、人事管理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1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二、教学排课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1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三、工资结算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1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四、模块联动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1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五、源代码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1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六、安装部署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1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七、数据库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1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八、账套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1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九、资料培训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1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合计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148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28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验收结论</w:t>
      </w:r>
    </w:p>
    <w:p>
      <w:pPr>
        <w:spacing w:after="60" w:before="60" w:line="28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☐ </w:t>
      </w:r>
      <w:r>
        <w:rPr>
          <w:rFonts w:ascii="宋体" w:cs="宋体" w:eastAsia="宋体" w:hAnsi="宋体"/>
          <w:b/>
          <w:bCs/>
          <w:sz w:val="20"/>
          <w:szCs w:val="20"/>
        </w:rPr>
        <w:t xml:space="preserve">通过验收</w:t>
      </w: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 —— 全部验收项通过，或仅存在轻微问题且已约定整改</w:t>
      </w:r>
    </w:p>
    <w:p>
      <w:pPr>
        <w:spacing w:after="60" w:before="60" w:line="28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☐ </w:t>
      </w:r>
      <w:r>
        <w:rPr>
          <w:rFonts w:ascii="宋体" w:cs="宋体" w:eastAsia="宋体" w:hAnsi="宋体"/>
          <w:b/>
          <w:bCs/>
          <w:sz w:val="20"/>
          <w:szCs w:val="20"/>
        </w:rPr>
        <w:t xml:space="preserve">有条件通过</w:t>
      </w: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 —— 存在一般问题，约定于　　年　　月　　日前完成整改并复验</w:t>
      </w:r>
    </w:p>
    <w:p>
      <w:pPr>
        <w:spacing w:after="60" w:before="60" w:line="28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☐ </w:t>
      </w:r>
      <w:r>
        <w:rPr>
          <w:rFonts w:ascii="宋体" w:cs="宋体" w:eastAsia="宋体" w:hAnsi="宋体"/>
          <w:b/>
          <w:bCs/>
          <w:sz w:val="20"/>
          <w:szCs w:val="20"/>
        </w:rPr>
        <w:t xml:space="preserve">不通过</w:t>
      </w: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 —— 存在严重问题，整改后重新组织验收</w:t>
      </w:r>
    </w:p>
    <w:p>
      <w:pPr>
        <w:spacing w:after="60" w:before="60" w:line="280"/>
      </w:pPr>
      <w:r>
        <w:rPr>
          <w:rFonts w:ascii="宋体" w:cs="宋体" w:eastAsia="宋体" w:hAnsi="宋体"/>
          <w:b/>
          <w:bCs/>
          <w:sz w:val="20"/>
          <w:szCs w:val="20"/>
        </w:rPr>
        <w:t xml:space="preserve">结论说明</w:t>
      </w: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：</w:t>
      </w:r>
    </w:p>
    <w:p>
      <w:pPr>
        <w:pBdr>
          <w:bottom w:val="single" w:color="D0D5DB" w:sz="6"/>
        </w:pBdr>
        <w:spacing w:after="160" w:before="10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Bdr>
          <w:bottom w:val="single" w:color="D0D5DB" w:sz="6"/>
        </w:pBdr>
        <w:spacing w:after="160" w:before="10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Bdr>
          <w:bottom w:val="single" w:color="D0D5DB" w:sz="6"/>
        </w:pBdr>
        <w:spacing w:after="160" w:before="10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sz w:val="22"/>
          <w:szCs w:val="22"/>
        </w:rPr>
        <w:t xml:space="preserve">签字</w:t>
      </w:r>
    </w:p>
    <w:tbl>
      <w:tblPr>
        <w:tblW w:type="dxa" w:w="13908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7CDD4" w:sz="2"/>
          <w:insideV w:val="single" w:color="C7CDD4" w:sz="2"/>
        </w:tblBorders>
      </w:tblPr>
      <w:tblGrid>
        <w:gridCol w:w="4636"/>
        <w:gridCol w:w="4636"/>
        <w:gridCol w:w="4636"/>
      </w:tblGrid>
      <w:tr>
        <w:trPr>
          <w:tblHeader/>
        </w:trPr>
        <w:tc>
          <w:tcPr>
            <w:tcW w:type="dxa" w:w="4636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4636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校方</w:t>
            </w:r>
          </w:p>
        </w:tc>
        <w:tc>
          <w:tcPr>
            <w:tcW w:type="dxa" w:w="4636"/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开发方</w:t>
            </w:r>
          </w:p>
        </w:tc>
      </w:tr>
      <w:tr>
        <w:tc>
          <w:tcPr>
            <w:tcW w:type="dxa" w:w="46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验收负责人</w:t>
            </w:r>
          </w:p>
        </w:tc>
        <w:tc>
          <w:tcPr>
            <w:tcW w:type="dxa" w:w="46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参与人员</w:t>
            </w:r>
          </w:p>
        </w:tc>
        <w:tc>
          <w:tcPr>
            <w:tcW w:type="dxa" w:w="46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日期</w:t>
            </w:r>
          </w:p>
        </w:tc>
        <w:tc>
          <w:tcPr>
            <w:tcW w:type="dxa" w:w="46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盖章</w:t>
            </w:r>
          </w:p>
        </w:tc>
        <w:tc>
          <w:tcPr>
            <w:tcW w:type="dxa" w:w="46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28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pBdr>
          <w:bottom w:val="single" w:color="D0D5DB" w:sz="6"/>
        </w:pBdr>
        <w:spacing w:after="160" w:before="10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/>
      </w:r>
    </w:p>
    <w:p>
      <w:pPr>
        <w:spacing w:after="60" w:before="60" w:line="280"/>
      </w:pPr>
      <w:r>
        <w:rPr>
          <w:rFonts w:ascii="宋体" w:cs="宋体" w:eastAsia="宋体" w:hAnsi="宋体"/>
          <w:b/>
          <w:bCs/>
          <w:sz w:val="20"/>
          <w:szCs w:val="20"/>
        </w:rPr>
        <w:t xml:space="preserve">附件</w:t>
      </w:r>
    </w:p>
    <w:p>
      <w:pPr>
        <w:spacing w:after="60" w:before="60" w:line="28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1. 《深圳市富源学校薪酬制度》条款覆盖对照表 —— 用于第三类工资结算模块的逐条核对</w:t>
      </w:r>
    </w:p>
    <w:p>
      <w:pPr>
        <w:spacing w:after="60" w:before="60" w:line="280"/>
      </w:pPr>
      <w:r>
        <w:rPr>
          <w:rFonts w:ascii="宋体" w:cs="宋体" w:eastAsia="宋体" w:hAnsi="宋体"/>
          <w:b w:val="false"/>
          <w:bCs w:val="false"/>
          <w:sz w:val="20"/>
          <w:szCs w:val="20"/>
        </w:rPr>
        <w:t xml:space="preserve">2. 系统操作演示脚本 —— 用于现场演示的操作路径与样本数据说明</w:t>
      </w:r>
    </w:p>
    <w:sectPr>
      <w:footerReference w:type="default" r:id="rId7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6B7280"/>
        <w:sz w:val="18"/>
        <w:szCs w:val="18"/>
      </w:rPr>
      <w:t xml:space="preserve">第 </w:t>
    </w:r>
    <w:r>
      <w:rPr>
        <w:rFonts w:ascii="宋体" w:cs="宋体" w:eastAsia="宋体" w:hAnsi="宋体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6B7280"/>
        <w:sz w:val="18"/>
        <w:szCs w:val="18"/>
      </w:rPr>
      <w:t xml:space="preserve"> 页 / 共 </w:t>
    </w:r>
    <w:r>
      <w:rPr>
        <w:rFonts w:ascii="宋体" w:cs="宋体" w:eastAsia="宋体" w:hAnsi="宋体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宋体" w:cs="宋体" w:eastAsia="宋体" w:hAnsi="宋体"/>
        <w:color w:val="6B72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深圳市富源学校人事、排课、工资结算系统验收清单</dc:title>
  <dc:creator>深圳市富源学校人事、排课、工资结算系统项目组</dc:creator>
  <dc:description>系统验收清单</dc:description>
  <cp:lastModifiedBy>Un-named</cp:lastModifiedBy>
  <cp:revision>1</cp:revision>
  <dcterms:created xsi:type="dcterms:W3CDTF">2026-08-17T17:07:44.973Z</dcterms:created>
  <dcterms:modified xsi:type="dcterms:W3CDTF">2026-08-17T17:07:44.975Z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