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E61D2" w14:textId="77777777" w:rsidR="00AE4566" w:rsidRDefault="00405E53" w:rsidP="00405E53">
      <w:pPr>
        <w:spacing w:after="0"/>
        <w:jc w:val="center"/>
        <w:rPr>
          <w:rFonts w:ascii="Arial" w:hAnsi="Arial" w:cs="Arial"/>
          <w:b/>
          <w:bCs/>
        </w:rPr>
      </w:pPr>
      <w:r w:rsidRPr="003E376E">
        <w:rPr>
          <w:rFonts w:ascii="Arial" w:hAnsi="Arial" w:cs="Arial"/>
          <w:b/>
          <w:bCs/>
        </w:rPr>
        <w:t xml:space="preserve">Документ, содержащий измененную (скорректированную) информацию, раскрытую в отчете эмитента эмиссионных ценных бумаг МКПАО "Озон" </w:t>
      </w:r>
    </w:p>
    <w:p w14:paraId="6EBF0D7E" w14:textId="18A08296" w:rsidR="007A52BF" w:rsidRPr="003E376E" w:rsidRDefault="00405E53" w:rsidP="00405E53">
      <w:pPr>
        <w:spacing w:after="0"/>
        <w:jc w:val="center"/>
        <w:rPr>
          <w:rFonts w:ascii="Arial" w:hAnsi="Arial" w:cs="Arial"/>
          <w:b/>
          <w:bCs/>
        </w:rPr>
      </w:pPr>
      <w:r w:rsidRPr="003E376E">
        <w:rPr>
          <w:rFonts w:ascii="Arial" w:hAnsi="Arial" w:cs="Arial"/>
          <w:b/>
          <w:bCs/>
        </w:rPr>
        <w:t>(код эмитента: 17182-A) за 12 месяцев 2025 г.</w:t>
      </w:r>
    </w:p>
    <w:p w14:paraId="3FAB9D34" w14:textId="4A555AEB" w:rsidR="00405E53" w:rsidRPr="003E376E" w:rsidRDefault="00405E53" w:rsidP="00405E53">
      <w:pPr>
        <w:jc w:val="center"/>
        <w:rPr>
          <w:rFonts w:ascii="Arial" w:hAnsi="Arial" w:cs="Arial"/>
          <w:b/>
          <w:bCs/>
        </w:rPr>
      </w:pPr>
      <w:r w:rsidRPr="003E376E">
        <w:rPr>
          <w:rFonts w:ascii="Arial" w:hAnsi="Arial" w:cs="Arial"/>
          <w:b/>
          <w:bCs/>
        </w:rPr>
        <w:t>(далее – Отчет эмитента)</w:t>
      </w:r>
    </w:p>
    <w:p w14:paraId="0071032E" w14:textId="7CF90750" w:rsidR="00405E53" w:rsidRPr="004F65CF" w:rsidRDefault="00405E53" w:rsidP="004F65CF">
      <w:pPr>
        <w:jc w:val="both"/>
        <w:rPr>
          <w:rFonts w:ascii="Arial" w:hAnsi="Arial" w:cs="Arial"/>
        </w:rPr>
      </w:pPr>
      <w:r w:rsidRPr="004F65CF">
        <w:rPr>
          <w:rFonts w:ascii="Arial" w:hAnsi="Arial" w:cs="Arial"/>
        </w:rPr>
        <w:t>Настоящий документ публикуется в порядке изменения (корректировки) информации, содержащейся в ранее опубликованном Отчете эмитента.</w:t>
      </w:r>
    </w:p>
    <w:p w14:paraId="07C0E7E8" w14:textId="77CFAF8D" w:rsidR="00405E53" w:rsidRPr="004F65CF" w:rsidRDefault="00405E53" w:rsidP="004F65CF">
      <w:pPr>
        <w:spacing w:before="240"/>
        <w:jc w:val="both"/>
        <w:rPr>
          <w:rFonts w:ascii="Arial" w:hAnsi="Arial" w:cs="Arial"/>
        </w:rPr>
      </w:pPr>
      <w:r w:rsidRPr="004F65CF">
        <w:rPr>
          <w:rFonts w:ascii="Arial" w:hAnsi="Arial" w:cs="Arial"/>
        </w:rPr>
        <w:t xml:space="preserve">Ссылка на ранее опубликованный текст Отчета эмитента, информация в котором изменяется (корректируется): </w:t>
      </w:r>
      <w:hyperlink r:id="rId8" w:history="1">
        <w:r w:rsidRPr="004F65CF">
          <w:rPr>
            <w:rStyle w:val="a4"/>
            <w:rFonts w:ascii="Arial" w:hAnsi="Arial" w:cs="Arial"/>
          </w:rPr>
          <w:t>https://www.e-disclosure.ru/portal/files.aspx?id=39583&amp;type=5</w:t>
        </w:r>
      </w:hyperlink>
    </w:p>
    <w:p w14:paraId="7F438C1E" w14:textId="77777777" w:rsidR="00B70DB7" w:rsidRPr="004F65CF" w:rsidRDefault="00405E53" w:rsidP="004F65CF">
      <w:pPr>
        <w:jc w:val="both"/>
        <w:rPr>
          <w:rFonts w:ascii="Arial" w:hAnsi="Arial" w:cs="Arial"/>
        </w:rPr>
      </w:pPr>
      <w:r w:rsidRPr="004F65CF">
        <w:rPr>
          <w:rFonts w:ascii="Arial" w:hAnsi="Arial" w:cs="Arial"/>
        </w:rPr>
        <w:t>Краткое описание внесенных изменений и причин (обстоятельств), послуживших основанием их внесения:</w:t>
      </w:r>
      <w:r w:rsidR="00B70DB7" w:rsidRPr="004F65CF">
        <w:rPr>
          <w:rFonts w:ascii="Arial" w:hAnsi="Arial" w:cs="Arial"/>
        </w:rPr>
        <w:t xml:space="preserve"> </w:t>
      </w:r>
    </w:p>
    <w:p w14:paraId="5F761B38" w14:textId="14386D7D" w:rsidR="00405E53" w:rsidRPr="003E376E" w:rsidRDefault="00405E53" w:rsidP="00B70DB7">
      <w:pPr>
        <w:pStyle w:val="a3"/>
        <w:numPr>
          <w:ilvl w:val="0"/>
          <w:numId w:val="2"/>
        </w:numPr>
        <w:jc w:val="both"/>
        <w:rPr>
          <w:rFonts w:ascii="Arial" w:hAnsi="Arial" w:cs="Arial"/>
        </w:rPr>
      </w:pPr>
      <w:r w:rsidRPr="003E376E">
        <w:rPr>
          <w:rFonts w:ascii="Arial" w:hAnsi="Arial" w:cs="Arial"/>
        </w:rPr>
        <w:t>в подпункте 1.7.2 пункта 1.7 Отчета эмитента раскрыта информация о размере предоставленного обеспечения, о виде, содержании, размере, сроке исполнения обеспеченного обязательства, способе обеспечения, размере и условиях предоставления обеспечения, в том числе предмете и стоимости предмета залога, о сроке, на который обеспечение предоставлено, о факторах, которые могут привести к неисполнению или ненадлежащему исполнению обеспеченного обязательства, и вероятности возникновения таких факторов на 31.12.2025.</w:t>
      </w:r>
    </w:p>
    <w:p w14:paraId="0A279AF9" w14:textId="77777777" w:rsidR="004F65CF" w:rsidRDefault="00B70DB7" w:rsidP="004F65CF">
      <w:pPr>
        <w:pStyle w:val="a3"/>
        <w:numPr>
          <w:ilvl w:val="0"/>
          <w:numId w:val="2"/>
        </w:numPr>
        <w:jc w:val="both"/>
        <w:rPr>
          <w:rFonts w:ascii="Arial" w:hAnsi="Arial" w:cs="Arial"/>
        </w:rPr>
      </w:pPr>
      <w:r w:rsidRPr="003E376E">
        <w:rPr>
          <w:rFonts w:ascii="Arial" w:hAnsi="Arial" w:cs="Arial"/>
        </w:rPr>
        <w:t>в пункте 2.2 Отчета эмитента указано, что члены совета директоров, за исключением лица, одновременно осуществляющего функции единоличного исполнительного органа и члена совета директоров эмитента, не являются (не являлись) работниками эмитента.</w:t>
      </w:r>
    </w:p>
    <w:p w14:paraId="50FAD05E" w14:textId="668EAA49" w:rsidR="00B70DB7" w:rsidRPr="004F65CF" w:rsidRDefault="00B70DB7" w:rsidP="004F65CF">
      <w:pPr>
        <w:jc w:val="both"/>
        <w:rPr>
          <w:rFonts w:ascii="Arial" w:hAnsi="Arial" w:cs="Arial"/>
        </w:rPr>
      </w:pPr>
      <w:r w:rsidRPr="004F65CF">
        <w:rPr>
          <w:rFonts w:ascii="Arial" w:hAnsi="Arial" w:cs="Arial"/>
        </w:rPr>
        <w:t>Указанные изменения внесены в Отчет эмитента с целью приведения Отчета эмитента в соответствие с действующим законодательством.</w:t>
      </w:r>
    </w:p>
    <w:p w14:paraId="37200356" w14:textId="254863DD" w:rsidR="00B70DB7" w:rsidRPr="004F65CF" w:rsidRDefault="00B70DB7" w:rsidP="004F65CF">
      <w:pPr>
        <w:jc w:val="center"/>
        <w:rPr>
          <w:rFonts w:ascii="Arial" w:hAnsi="Arial" w:cs="Arial"/>
        </w:rPr>
      </w:pPr>
      <w:r w:rsidRPr="004F65CF">
        <w:rPr>
          <w:rFonts w:ascii="Arial" w:hAnsi="Arial" w:cs="Arial"/>
        </w:rPr>
        <w:t>Полный текст измененной (скорректированной) информации:</w:t>
      </w:r>
    </w:p>
    <w:p w14:paraId="6FB87618" w14:textId="1783AC3D" w:rsidR="003E376E" w:rsidRPr="003E376E" w:rsidRDefault="003E376E" w:rsidP="003E376E">
      <w:pPr>
        <w:rPr>
          <w:rFonts w:ascii="Arial" w:hAnsi="Arial" w:cs="Arial"/>
        </w:rPr>
      </w:pPr>
      <w:bookmarkStart w:id="0" w:name="_Toc227003770"/>
      <w:r w:rsidRPr="003E376E">
        <w:rPr>
          <w:rFonts w:ascii="Arial" w:hAnsi="Arial" w:cs="Arial"/>
        </w:rPr>
        <w:t>1.7.2. Сведения об обязательствах эмитента из предоставленного обеспечения</w:t>
      </w:r>
      <w:bookmarkEnd w:id="0"/>
    </w:p>
    <w:p w14:paraId="12976ED5" w14:textId="77777777" w:rsidR="003E376E" w:rsidRPr="003E376E" w:rsidRDefault="003E376E" w:rsidP="003E376E">
      <w:pPr>
        <w:shd w:val="clear" w:color="auto" w:fill="FFFFFF" w:themeFill="background1"/>
        <w:spacing w:after="120"/>
        <w:jc w:val="both"/>
        <w:rPr>
          <w:rFonts w:ascii="Arial" w:hAnsi="Arial" w:cs="Arial"/>
        </w:rPr>
      </w:pPr>
      <w:r w:rsidRPr="003E376E">
        <w:rPr>
          <w:rFonts w:ascii="Arial" w:hAnsi="Arial" w:cs="Arial"/>
          <w:b/>
          <w:bCs/>
        </w:rPr>
        <w:t>Указываются сведения о размере обеспечения (в том числе в форме залога, поручительства, независимой гарантии), предоставленного эмитентом, (если эмитентом составляется и раскрывается консолидированная финансовая отчетность, - о размере обеспечения, предоставленного лицами, входящими в группу эмитента, иным лицам, входящим в группу эмитента, и лицам, не входящим в нее), а также о совершенных эмитентом (организациями, входящими в группу эмитента) сделках по предоставлению такого обеспечения, имеющих для эмитента (группы эмитента) существенное значение</w:t>
      </w:r>
      <w:r w:rsidRPr="003E376E">
        <w:rPr>
          <w:rFonts w:ascii="Arial" w:hAnsi="Arial" w:cs="Arial"/>
        </w:rPr>
        <w:t>.</w:t>
      </w:r>
    </w:p>
    <w:p w14:paraId="56839B73" w14:textId="77777777" w:rsidR="003E376E" w:rsidRPr="003E376E" w:rsidRDefault="003E376E" w:rsidP="003E376E">
      <w:pPr>
        <w:shd w:val="clear" w:color="auto" w:fill="FFFFFF" w:themeFill="background1"/>
        <w:spacing w:after="120"/>
        <w:jc w:val="both"/>
        <w:rPr>
          <w:rFonts w:ascii="Arial" w:hAnsi="Arial" w:cs="Arial"/>
        </w:rPr>
      </w:pPr>
      <w:r w:rsidRPr="003E376E">
        <w:rPr>
          <w:rFonts w:ascii="Arial" w:hAnsi="Arial" w:cs="Arial"/>
        </w:rPr>
        <w:t xml:space="preserve">Определенный эмитентом уровень существенности размера предоставленного обеспечения: 10 процентов </w:t>
      </w:r>
      <w:proofErr w:type="gramStart"/>
      <w:r w:rsidRPr="003E376E">
        <w:rPr>
          <w:rFonts w:ascii="Arial" w:hAnsi="Arial" w:cs="Arial"/>
        </w:rPr>
        <w:t>от Общего размера</w:t>
      </w:r>
      <w:proofErr w:type="gramEnd"/>
      <w:r w:rsidRPr="003E376E">
        <w:rPr>
          <w:rFonts w:ascii="Arial" w:hAnsi="Arial" w:cs="Arial"/>
        </w:rPr>
        <w:t xml:space="preserve"> предоставленного Группой Озон обеспечения лицам, не входящим в Группу Озон.</w:t>
      </w:r>
    </w:p>
    <w:p w14:paraId="11EF5BDA" w14:textId="77777777" w:rsidR="003E376E" w:rsidRPr="003E376E" w:rsidRDefault="003E376E" w:rsidP="003E376E">
      <w:pPr>
        <w:shd w:val="clear" w:color="auto" w:fill="FFFFFF" w:themeFill="background1"/>
        <w:spacing w:after="120"/>
        <w:jc w:val="both"/>
        <w:rPr>
          <w:rFonts w:ascii="Arial" w:hAnsi="Arial" w:cs="Arial"/>
        </w:rPr>
      </w:pPr>
      <w:r w:rsidRPr="003E376E">
        <w:rPr>
          <w:rFonts w:ascii="Arial" w:hAnsi="Arial" w:cs="Arial"/>
        </w:rPr>
        <w:t>Сведения о совершенных эмитентом сделках по предоставлению такого обеспечения, имеющих для эмитента существенное значение:</w:t>
      </w:r>
    </w:p>
    <w:p w14:paraId="52F09B0A" w14:textId="50CAC0A6" w:rsidR="00B70DB7" w:rsidRPr="003E376E" w:rsidRDefault="00B70DB7" w:rsidP="00B70DB7">
      <w:pPr>
        <w:pStyle w:val="Basic"/>
        <w:shd w:val="clear" w:color="auto" w:fill="FFFFFF" w:themeFill="background1"/>
        <w:ind w:firstLine="0"/>
        <w:rPr>
          <w:rFonts w:ascii="Arial" w:hAnsi="Arial" w:cs="Arial"/>
          <w:b/>
          <w:szCs w:val="22"/>
        </w:rPr>
      </w:pPr>
      <w:r w:rsidRPr="003E376E">
        <w:rPr>
          <w:rFonts w:ascii="Arial" w:hAnsi="Arial" w:cs="Arial"/>
          <w:b/>
          <w:szCs w:val="22"/>
        </w:rPr>
        <w:t>На 31 декабря 2025 г.:</w:t>
      </w:r>
    </w:p>
    <w:p w14:paraId="7378C17F" w14:textId="77777777" w:rsidR="00B70DB7" w:rsidRPr="003E376E" w:rsidRDefault="00B70DB7" w:rsidP="00B70DB7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  <w:highlight w:val="lightGray"/>
        </w:rPr>
      </w:pPr>
      <w:r w:rsidRPr="003E376E">
        <w:rPr>
          <w:rFonts w:ascii="Arial" w:hAnsi="Arial" w:cs="Arial"/>
          <w:szCs w:val="22"/>
        </w:rPr>
        <w:t>1.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15"/>
        <w:gridCol w:w="4829"/>
      </w:tblGrid>
      <w:tr w:rsidR="00B70DB7" w:rsidRPr="003E376E" w14:paraId="3072B1C3" w14:textId="77777777" w:rsidTr="007D1166">
        <w:tc>
          <w:tcPr>
            <w:tcW w:w="4515" w:type="dxa"/>
          </w:tcPr>
          <w:p w14:paraId="7AA4106E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Размер предоставленного обеспечения (размер обеспечения)</w:t>
            </w:r>
            <w:r w:rsidRPr="003E376E">
              <w:rPr>
                <w:rStyle w:val="a8"/>
                <w:rFonts w:ascii="Arial" w:hAnsi="Arial" w:cs="Arial"/>
                <w:szCs w:val="22"/>
              </w:rPr>
              <w:footnoteReference w:id="1"/>
            </w:r>
            <w:r w:rsidRPr="003E376E">
              <w:rPr>
                <w:rFonts w:ascii="Arial" w:hAnsi="Arial" w:cs="Arial"/>
                <w:szCs w:val="22"/>
              </w:rPr>
              <w:t xml:space="preserve">: </w:t>
            </w:r>
          </w:p>
        </w:tc>
        <w:tc>
          <w:tcPr>
            <w:tcW w:w="4829" w:type="dxa"/>
          </w:tcPr>
          <w:p w14:paraId="0317505D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  <w:lang w:val="en-US"/>
              </w:rPr>
              <w:t>20 354</w:t>
            </w:r>
            <w:r w:rsidRPr="003E376E">
              <w:rPr>
                <w:rFonts w:ascii="Arial" w:hAnsi="Arial" w:cs="Arial"/>
                <w:szCs w:val="22"/>
              </w:rPr>
              <w:t xml:space="preserve"> млн руб.</w:t>
            </w:r>
          </w:p>
        </w:tc>
      </w:tr>
      <w:tr w:rsidR="00B70DB7" w:rsidRPr="003E376E" w14:paraId="77B637BF" w14:textId="77777777" w:rsidTr="007D1166">
        <w:tc>
          <w:tcPr>
            <w:tcW w:w="4515" w:type="dxa"/>
          </w:tcPr>
          <w:p w14:paraId="1318CA49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lastRenderedPageBreak/>
              <w:t>Вид обеспеченного обязательства</w:t>
            </w:r>
          </w:p>
        </w:tc>
        <w:tc>
          <w:tcPr>
            <w:tcW w:w="4829" w:type="dxa"/>
          </w:tcPr>
          <w:p w14:paraId="39150D91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Заем</w:t>
            </w:r>
          </w:p>
        </w:tc>
      </w:tr>
      <w:tr w:rsidR="00B70DB7" w:rsidRPr="003E376E" w14:paraId="20884AA8" w14:textId="77777777" w:rsidTr="007D1166">
        <w:tc>
          <w:tcPr>
            <w:tcW w:w="4515" w:type="dxa"/>
          </w:tcPr>
          <w:p w14:paraId="2485883C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Содержание обеспеченного обязательства</w:t>
            </w:r>
          </w:p>
        </w:tc>
        <w:tc>
          <w:tcPr>
            <w:tcW w:w="4829" w:type="dxa"/>
          </w:tcPr>
          <w:p w14:paraId="31C8245D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а) Обязательства Должника перед Кредитором по возврату предоставленного Должнику Кредитором финансирования, вознаграждения за пользование предоставленного финансирования, иных сумм, предусмотренных договором;</w:t>
            </w:r>
          </w:p>
          <w:p w14:paraId="6627D0F6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б) любые суммы, подлежащие возврату или уплате Кредитору в случае недействительности или признания незаключенным договора финансирования.</w:t>
            </w:r>
          </w:p>
        </w:tc>
      </w:tr>
      <w:tr w:rsidR="00B70DB7" w:rsidRPr="003E376E" w14:paraId="34DD70F7" w14:textId="77777777" w:rsidTr="007D1166">
        <w:tc>
          <w:tcPr>
            <w:tcW w:w="4515" w:type="dxa"/>
          </w:tcPr>
          <w:p w14:paraId="27A4C7FB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Размер обеспеченного обязательства</w:t>
            </w:r>
          </w:p>
        </w:tc>
        <w:tc>
          <w:tcPr>
            <w:tcW w:w="4829" w:type="dxa"/>
          </w:tcPr>
          <w:p w14:paraId="77989D74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20 3</w:t>
            </w:r>
            <w:r w:rsidRPr="003E376E">
              <w:rPr>
                <w:rFonts w:ascii="Arial" w:hAnsi="Arial" w:cs="Arial"/>
                <w:szCs w:val="22"/>
                <w:lang w:val="en-US"/>
              </w:rPr>
              <w:t>54</w:t>
            </w:r>
            <w:r w:rsidRPr="003E376E">
              <w:rPr>
                <w:rFonts w:ascii="Arial" w:hAnsi="Arial" w:cs="Arial"/>
                <w:szCs w:val="22"/>
              </w:rPr>
              <w:t xml:space="preserve"> млн руб.</w:t>
            </w:r>
          </w:p>
        </w:tc>
      </w:tr>
      <w:tr w:rsidR="00B70DB7" w:rsidRPr="003E376E" w14:paraId="47CD674F" w14:textId="77777777" w:rsidTr="007D1166">
        <w:tc>
          <w:tcPr>
            <w:tcW w:w="4515" w:type="dxa"/>
          </w:tcPr>
          <w:p w14:paraId="2E437718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Срок исполнения обеспеченного обязательства</w:t>
            </w:r>
          </w:p>
        </w:tc>
        <w:tc>
          <w:tcPr>
            <w:tcW w:w="4829" w:type="dxa"/>
          </w:tcPr>
          <w:p w14:paraId="6D3C9282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 xml:space="preserve">Обеспеченное обязательство заключено на неопределенный срок. </w:t>
            </w:r>
          </w:p>
        </w:tc>
      </w:tr>
      <w:tr w:rsidR="00B70DB7" w:rsidRPr="003E376E" w14:paraId="2F893F21" w14:textId="77777777" w:rsidTr="007D1166">
        <w:tc>
          <w:tcPr>
            <w:tcW w:w="4515" w:type="dxa"/>
          </w:tcPr>
          <w:p w14:paraId="2E0112B3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Способ обеспечения</w:t>
            </w:r>
          </w:p>
        </w:tc>
        <w:tc>
          <w:tcPr>
            <w:tcW w:w="4829" w:type="dxa"/>
          </w:tcPr>
          <w:p w14:paraId="7A371E10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Поручительство</w:t>
            </w:r>
          </w:p>
        </w:tc>
      </w:tr>
      <w:tr w:rsidR="00B70DB7" w:rsidRPr="003E376E" w14:paraId="2287DCFA" w14:textId="77777777" w:rsidTr="007D1166">
        <w:tc>
          <w:tcPr>
            <w:tcW w:w="4515" w:type="dxa"/>
          </w:tcPr>
          <w:p w14:paraId="3F479D72" w14:textId="77777777" w:rsidR="00B70DB7" w:rsidRPr="003E376E" w:rsidRDefault="00B70DB7" w:rsidP="007D1166">
            <w:pPr>
              <w:shd w:val="clear" w:color="auto" w:fill="FFFFFF" w:themeFill="background1"/>
              <w:spacing w:after="120"/>
              <w:jc w:val="both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 xml:space="preserve">Размер и условия предоставления, срок, на который обеспечение предоставлено </w:t>
            </w:r>
          </w:p>
          <w:p w14:paraId="396FEAB1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</w:p>
        </w:tc>
        <w:tc>
          <w:tcPr>
            <w:tcW w:w="4829" w:type="dxa"/>
          </w:tcPr>
          <w:p w14:paraId="158B5EB2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Размер предоставления обеспечения: 20 354 млн руб.</w:t>
            </w:r>
          </w:p>
          <w:p w14:paraId="1EBC96B4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pacing w:val="-2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Условия предоставления обеспечения: Поручительство предоставлено на условиях солидарной ответственности Поручителя, размер ответственности Поручителя ограничен твердой суммой в размере 25 000 млн руб., поручительство вступило в силу с даты заключения договора поручительства.</w:t>
            </w:r>
          </w:p>
          <w:p w14:paraId="43EE282B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pacing w:val="-2"/>
                <w:szCs w:val="22"/>
              </w:rPr>
              <w:t>Срок, на который обеспечение предоставлено</w:t>
            </w:r>
            <w:r w:rsidRPr="003E376E">
              <w:rPr>
                <w:rFonts w:ascii="Arial" w:hAnsi="Arial" w:cs="Arial"/>
                <w:szCs w:val="22"/>
              </w:rPr>
              <w:t>: до 31.12.2027</w:t>
            </w:r>
          </w:p>
        </w:tc>
      </w:tr>
      <w:tr w:rsidR="00B70DB7" w:rsidRPr="003E376E" w14:paraId="152656A9" w14:textId="77777777" w:rsidTr="007D1166">
        <w:tc>
          <w:tcPr>
            <w:tcW w:w="4515" w:type="dxa"/>
          </w:tcPr>
          <w:p w14:paraId="5135371D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Факторы, которые могут привести к неисполнению или ненадлежащему исполнению обеспеченного обязательства, и вероятности возникновения таких факторов</w:t>
            </w:r>
          </w:p>
        </w:tc>
        <w:tc>
          <w:tcPr>
            <w:tcW w:w="4829" w:type="dxa"/>
          </w:tcPr>
          <w:p w14:paraId="01903AA4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trike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Факторы, препятствующие надлежащему исполнению обеспеченного обязательства, по мнению Эмитента, отсутствуют.</w:t>
            </w:r>
          </w:p>
        </w:tc>
      </w:tr>
    </w:tbl>
    <w:p w14:paraId="7AD743E5" w14:textId="77777777" w:rsidR="00B70DB7" w:rsidRPr="003E376E" w:rsidRDefault="00B70DB7" w:rsidP="00EE7EFA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 xml:space="preserve">2. 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672"/>
        <w:gridCol w:w="4679"/>
      </w:tblGrid>
      <w:tr w:rsidR="00B70DB7" w:rsidRPr="003E376E" w14:paraId="16598758" w14:textId="77777777" w:rsidTr="00EE7EFA">
        <w:tc>
          <w:tcPr>
            <w:tcW w:w="4672" w:type="dxa"/>
          </w:tcPr>
          <w:p w14:paraId="2F549DDE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Размер предоставленного обеспечения (размер обеспечения)</w:t>
            </w:r>
            <w:r w:rsidRPr="003E376E">
              <w:rPr>
                <w:rStyle w:val="a8"/>
                <w:rFonts w:ascii="Arial" w:hAnsi="Arial" w:cs="Arial"/>
                <w:szCs w:val="22"/>
              </w:rPr>
              <w:t xml:space="preserve"> </w:t>
            </w:r>
            <w:r w:rsidRPr="003E376E">
              <w:rPr>
                <w:rStyle w:val="a8"/>
                <w:rFonts w:ascii="Arial" w:hAnsi="Arial" w:cs="Arial"/>
                <w:szCs w:val="22"/>
              </w:rPr>
              <w:footnoteReference w:id="2"/>
            </w:r>
            <w:r w:rsidRPr="003E376E">
              <w:rPr>
                <w:rFonts w:ascii="Arial" w:hAnsi="Arial" w:cs="Arial"/>
                <w:szCs w:val="22"/>
              </w:rPr>
              <w:t xml:space="preserve">: </w:t>
            </w:r>
          </w:p>
        </w:tc>
        <w:tc>
          <w:tcPr>
            <w:tcW w:w="4679" w:type="dxa"/>
          </w:tcPr>
          <w:p w14:paraId="5C391EA5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14 997 млн руб.</w:t>
            </w:r>
          </w:p>
        </w:tc>
      </w:tr>
      <w:tr w:rsidR="00B70DB7" w:rsidRPr="003E376E" w14:paraId="0055A624" w14:textId="77777777" w:rsidTr="00EE7EFA">
        <w:tc>
          <w:tcPr>
            <w:tcW w:w="4672" w:type="dxa"/>
          </w:tcPr>
          <w:p w14:paraId="390ED7C8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Вид обеспеченного обязательства</w:t>
            </w:r>
          </w:p>
        </w:tc>
        <w:tc>
          <w:tcPr>
            <w:tcW w:w="4679" w:type="dxa"/>
          </w:tcPr>
          <w:p w14:paraId="0978F4D8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Кредит</w:t>
            </w:r>
          </w:p>
        </w:tc>
      </w:tr>
      <w:tr w:rsidR="00B70DB7" w:rsidRPr="003E376E" w14:paraId="435843AA" w14:textId="77777777" w:rsidTr="00EE7EFA">
        <w:tc>
          <w:tcPr>
            <w:tcW w:w="4672" w:type="dxa"/>
          </w:tcPr>
          <w:p w14:paraId="70D351DF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Содержание обеспеченного обязательства</w:t>
            </w:r>
          </w:p>
        </w:tc>
        <w:tc>
          <w:tcPr>
            <w:tcW w:w="4679" w:type="dxa"/>
          </w:tcPr>
          <w:p w14:paraId="75F8CAF3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а) Обязательства Должника перед Кредитором по возврату сумм предоставленного кредита, уплате Должником в пользу Кредитора процентов за пользование кредитом, иных сумм по генеральному соглашению о кредитовании;</w:t>
            </w:r>
          </w:p>
          <w:p w14:paraId="648ECCED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 xml:space="preserve">б) любые суммы, подлежащие возврату или уплате Кредитору в случае недействительности или признания </w:t>
            </w:r>
            <w:r w:rsidRPr="003E376E">
              <w:rPr>
                <w:rFonts w:ascii="Arial" w:hAnsi="Arial" w:cs="Arial"/>
                <w:szCs w:val="22"/>
              </w:rPr>
              <w:lastRenderedPageBreak/>
              <w:t>незаключенным генерального соглашения о кредитовании;</w:t>
            </w:r>
          </w:p>
          <w:p w14:paraId="55589BA7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в) любые издержки по взысканию долга и убытки Кредитора, вызванные неисполнением или ненадлежащим исполнением Должником своих обязательств, подтвержденные и заранее согласованные расходы Кредитора.</w:t>
            </w:r>
          </w:p>
        </w:tc>
      </w:tr>
      <w:tr w:rsidR="00B70DB7" w:rsidRPr="003E376E" w14:paraId="4359FFAF" w14:textId="77777777" w:rsidTr="00EE7EFA">
        <w:tc>
          <w:tcPr>
            <w:tcW w:w="4672" w:type="dxa"/>
          </w:tcPr>
          <w:p w14:paraId="2C289D1C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lastRenderedPageBreak/>
              <w:t>Размер обеспеченного обязательства</w:t>
            </w:r>
          </w:p>
        </w:tc>
        <w:tc>
          <w:tcPr>
            <w:tcW w:w="4679" w:type="dxa"/>
          </w:tcPr>
          <w:p w14:paraId="2D201889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14 997 млн руб.</w:t>
            </w:r>
          </w:p>
        </w:tc>
      </w:tr>
      <w:tr w:rsidR="00B70DB7" w:rsidRPr="003E376E" w14:paraId="01613592" w14:textId="77777777" w:rsidTr="00EE7EFA">
        <w:tc>
          <w:tcPr>
            <w:tcW w:w="4672" w:type="dxa"/>
          </w:tcPr>
          <w:p w14:paraId="6EB2B417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Срок исполнения обеспеченного обязательства</w:t>
            </w:r>
          </w:p>
        </w:tc>
        <w:tc>
          <w:tcPr>
            <w:tcW w:w="4679" w:type="dxa"/>
          </w:tcPr>
          <w:p w14:paraId="58B3B630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До 17.05.2029</w:t>
            </w:r>
          </w:p>
        </w:tc>
      </w:tr>
      <w:tr w:rsidR="00B70DB7" w:rsidRPr="003E376E" w14:paraId="3BBAEEBE" w14:textId="77777777" w:rsidTr="00EE7EFA">
        <w:tc>
          <w:tcPr>
            <w:tcW w:w="4672" w:type="dxa"/>
          </w:tcPr>
          <w:p w14:paraId="0950C542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Способ обеспечения.</w:t>
            </w:r>
          </w:p>
        </w:tc>
        <w:tc>
          <w:tcPr>
            <w:tcW w:w="4679" w:type="dxa"/>
          </w:tcPr>
          <w:p w14:paraId="7AAC36B0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Поручительство</w:t>
            </w:r>
          </w:p>
        </w:tc>
      </w:tr>
      <w:tr w:rsidR="00B70DB7" w:rsidRPr="003E376E" w14:paraId="7F51FB78" w14:textId="77777777" w:rsidTr="00EE7EFA">
        <w:tc>
          <w:tcPr>
            <w:tcW w:w="4672" w:type="dxa"/>
          </w:tcPr>
          <w:p w14:paraId="0D65C75E" w14:textId="77777777" w:rsidR="00B70DB7" w:rsidRPr="003E376E" w:rsidRDefault="00B70DB7" w:rsidP="007D1166">
            <w:pPr>
              <w:shd w:val="clear" w:color="auto" w:fill="FFFFFF" w:themeFill="background1"/>
              <w:spacing w:after="120"/>
              <w:jc w:val="both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 xml:space="preserve">Размер и условия предоставления, срок, на который обеспечение предоставлено </w:t>
            </w:r>
          </w:p>
          <w:p w14:paraId="149E1A8C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</w:p>
        </w:tc>
        <w:tc>
          <w:tcPr>
            <w:tcW w:w="4679" w:type="dxa"/>
          </w:tcPr>
          <w:p w14:paraId="106D2595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Размер предоставления обеспечения: 14 997 млн руб.</w:t>
            </w:r>
          </w:p>
          <w:p w14:paraId="46478BDC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pacing w:val="-2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 xml:space="preserve">Условия предоставления обеспечения: Поручительство предоставлено на условиях солидарной ответственности Поручителя, размер ответственности Поручителя не ограничен твердой суммой, поручительство вступило в силу с даты заключения договора поручительства. </w:t>
            </w:r>
          </w:p>
          <w:p w14:paraId="41CD62BE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pacing w:val="-2"/>
                <w:szCs w:val="22"/>
              </w:rPr>
              <w:t>Срок, на который обеспечение предоставлено</w:t>
            </w:r>
            <w:proofErr w:type="gramStart"/>
            <w:r w:rsidRPr="003E376E">
              <w:rPr>
                <w:rFonts w:ascii="Arial" w:hAnsi="Arial" w:cs="Arial"/>
                <w:spacing w:val="-2"/>
                <w:szCs w:val="22"/>
              </w:rPr>
              <w:t>:</w:t>
            </w:r>
            <w:r w:rsidRPr="003E376E">
              <w:rPr>
                <w:rFonts w:ascii="Arial" w:hAnsi="Arial" w:cs="Arial"/>
                <w:szCs w:val="22"/>
              </w:rPr>
              <w:t xml:space="preserve"> До</w:t>
            </w:r>
            <w:proofErr w:type="gramEnd"/>
            <w:r w:rsidRPr="003E376E">
              <w:rPr>
                <w:rFonts w:ascii="Arial" w:hAnsi="Arial" w:cs="Arial"/>
                <w:szCs w:val="22"/>
              </w:rPr>
              <w:t xml:space="preserve"> 17.05.2032 или до даты полного исполнения обеспеченного обязательства (в зависимости от того, что наступает ранее).</w:t>
            </w:r>
          </w:p>
        </w:tc>
      </w:tr>
      <w:tr w:rsidR="00B70DB7" w:rsidRPr="003E376E" w14:paraId="6D1E7B53" w14:textId="77777777" w:rsidTr="00EE7EFA">
        <w:tc>
          <w:tcPr>
            <w:tcW w:w="4672" w:type="dxa"/>
          </w:tcPr>
          <w:p w14:paraId="072932BE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Факторы, которые могут привести к неисполнению или ненадлежащему исполнению обеспеченного обязательства, и вероятности возникновения таких факторов</w:t>
            </w:r>
          </w:p>
        </w:tc>
        <w:tc>
          <w:tcPr>
            <w:tcW w:w="4679" w:type="dxa"/>
          </w:tcPr>
          <w:p w14:paraId="528C5826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trike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Факторы, препятствующие надлежащему исполнению обеспеченного обязательства, по мнению Эмитента, отсутствуют.</w:t>
            </w:r>
          </w:p>
        </w:tc>
      </w:tr>
    </w:tbl>
    <w:p w14:paraId="456E10F8" w14:textId="649A81D1" w:rsidR="00B70DB7" w:rsidRPr="003E376E" w:rsidRDefault="00B70DB7" w:rsidP="00EE7EFA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3.</w:t>
      </w:r>
    </w:p>
    <w:tbl>
      <w:tblPr>
        <w:tblStyle w:val="a9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B70DB7" w:rsidRPr="003E376E" w14:paraId="4ADE3356" w14:textId="77777777" w:rsidTr="00EE7EFA">
        <w:tc>
          <w:tcPr>
            <w:tcW w:w="4673" w:type="dxa"/>
          </w:tcPr>
          <w:p w14:paraId="2A8DD0A3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Размер предоставленного обеспечения (размер обеспечения)</w:t>
            </w:r>
            <w:r w:rsidRPr="003E376E">
              <w:rPr>
                <w:rStyle w:val="a8"/>
                <w:rFonts w:ascii="Arial" w:hAnsi="Arial" w:cs="Arial"/>
                <w:szCs w:val="22"/>
              </w:rPr>
              <w:t xml:space="preserve"> </w:t>
            </w:r>
            <w:r w:rsidRPr="003E376E">
              <w:rPr>
                <w:rStyle w:val="a8"/>
                <w:rFonts w:ascii="Arial" w:hAnsi="Arial" w:cs="Arial"/>
                <w:szCs w:val="22"/>
              </w:rPr>
              <w:footnoteReference w:id="3"/>
            </w:r>
            <w:r w:rsidRPr="003E376E">
              <w:rPr>
                <w:rFonts w:ascii="Arial" w:hAnsi="Arial" w:cs="Arial"/>
                <w:szCs w:val="22"/>
              </w:rPr>
              <w:t xml:space="preserve">: </w:t>
            </w:r>
          </w:p>
        </w:tc>
        <w:tc>
          <w:tcPr>
            <w:tcW w:w="4678" w:type="dxa"/>
          </w:tcPr>
          <w:p w14:paraId="1D89CF30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 xml:space="preserve">59 434 </w:t>
            </w:r>
            <w:r w:rsidRPr="003E376E">
              <w:rPr>
                <w:rFonts w:ascii="Arial" w:hAnsi="Arial" w:cs="Arial"/>
                <w:color w:val="000000"/>
                <w:szCs w:val="22"/>
              </w:rPr>
              <w:t>млн</w:t>
            </w:r>
            <w:r w:rsidRPr="003E376E">
              <w:rPr>
                <w:rFonts w:ascii="Arial" w:hAnsi="Arial" w:cs="Arial"/>
                <w:color w:val="000000"/>
                <w:szCs w:val="22"/>
                <w:lang w:val="en-US"/>
              </w:rPr>
              <w:t xml:space="preserve"> </w:t>
            </w:r>
            <w:r w:rsidRPr="003E376E">
              <w:rPr>
                <w:rFonts w:ascii="Arial" w:hAnsi="Arial" w:cs="Arial"/>
                <w:color w:val="000000"/>
                <w:szCs w:val="22"/>
              </w:rPr>
              <w:t>руб.</w:t>
            </w:r>
          </w:p>
        </w:tc>
      </w:tr>
      <w:tr w:rsidR="00B70DB7" w:rsidRPr="003E376E" w14:paraId="7757F0C1" w14:textId="77777777" w:rsidTr="00EE7EFA">
        <w:tc>
          <w:tcPr>
            <w:tcW w:w="4673" w:type="dxa"/>
          </w:tcPr>
          <w:p w14:paraId="6A13C843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Вид обеспеченного обязательства</w:t>
            </w:r>
          </w:p>
        </w:tc>
        <w:tc>
          <w:tcPr>
            <w:tcW w:w="4678" w:type="dxa"/>
          </w:tcPr>
          <w:p w14:paraId="13F69FAA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Заем</w:t>
            </w:r>
          </w:p>
        </w:tc>
      </w:tr>
      <w:tr w:rsidR="00B70DB7" w:rsidRPr="003E376E" w14:paraId="52F3E128" w14:textId="77777777" w:rsidTr="00EE7EFA">
        <w:tc>
          <w:tcPr>
            <w:tcW w:w="4673" w:type="dxa"/>
          </w:tcPr>
          <w:p w14:paraId="03BC1E91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Содержание обеспеченного обязательства</w:t>
            </w:r>
          </w:p>
        </w:tc>
        <w:tc>
          <w:tcPr>
            <w:tcW w:w="4678" w:type="dxa"/>
          </w:tcPr>
          <w:p w14:paraId="62ED5D4A" w14:textId="77777777" w:rsidR="00B70DB7" w:rsidRPr="003E376E" w:rsidRDefault="00B70DB7" w:rsidP="007D1166">
            <w:pPr>
              <w:shd w:val="clear" w:color="auto" w:fill="FFFFFF" w:themeFill="background1"/>
              <w:spacing w:after="120"/>
              <w:jc w:val="both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а) Все имеющиеся в любой момент времени платежные обязательства Должника перед Кредитором в том числе: по возврату суммы займа, уплате процентов и иных платежей по договору займа, включая обязательства по возмещению всех расходов и убытков;</w:t>
            </w:r>
          </w:p>
          <w:p w14:paraId="4720DE10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б) любые суммы, подлежащие возврату или уплате Кредитору в случае недействительности или признания незаключенным договора займа.</w:t>
            </w:r>
          </w:p>
        </w:tc>
      </w:tr>
      <w:tr w:rsidR="00B70DB7" w:rsidRPr="003E376E" w14:paraId="571D63C5" w14:textId="77777777" w:rsidTr="00EE7EFA">
        <w:tc>
          <w:tcPr>
            <w:tcW w:w="4673" w:type="dxa"/>
          </w:tcPr>
          <w:p w14:paraId="71119119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lastRenderedPageBreak/>
              <w:t>Размер обеспеченного обязательства</w:t>
            </w:r>
          </w:p>
        </w:tc>
        <w:tc>
          <w:tcPr>
            <w:tcW w:w="4678" w:type="dxa"/>
          </w:tcPr>
          <w:p w14:paraId="49F8568E" w14:textId="77777777" w:rsidR="00B70DB7" w:rsidRPr="003E376E" w:rsidRDefault="00B70DB7" w:rsidP="007D1166">
            <w:pPr>
              <w:shd w:val="clear" w:color="auto" w:fill="FFFFFF" w:themeFill="background1"/>
              <w:spacing w:after="120"/>
              <w:jc w:val="both"/>
              <w:rPr>
                <w:rFonts w:ascii="Arial" w:hAnsi="Arial" w:cs="Arial"/>
                <w:color w:val="000000"/>
                <w:lang w:eastAsia="en-US"/>
              </w:rPr>
            </w:pPr>
            <w:r w:rsidRPr="003E376E">
              <w:rPr>
                <w:rFonts w:ascii="Arial" w:hAnsi="Arial" w:cs="Arial"/>
              </w:rPr>
              <w:t>59</w:t>
            </w:r>
            <w:r w:rsidRPr="003E376E">
              <w:rPr>
                <w:rFonts w:ascii="Arial" w:hAnsi="Arial" w:cs="Arial"/>
                <w:lang w:val="en-US"/>
              </w:rPr>
              <w:t> </w:t>
            </w:r>
            <w:r w:rsidRPr="003E376E">
              <w:rPr>
                <w:rFonts w:ascii="Arial" w:hAnsi="Arial" w:cs="Arial"/>
              </w:rPr>
              <w:t xml:space="preserve">434 </w:t>
            </w:r>
            <w:r w:rsidRPr="003E376E">
              <w:rPr>
                <w:rFonts w:ascii="Arial" w:hAnsi="Arial" w:cs="Arial"/>
                <w:color w:val="000000"/>
              </w:rPr>
              <w:t>млн</w:t>
            </w:r>
            <w:r w:rsidRPr="003E376E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r w:rsidRPr="003E376E">
              <w:rPr>
                <w:rFonts w:ascii="Arial" w:hAnsi="Arial" w:cs="Arial"/>
                <w:color w:val="000000"/>
              </w:rPr>
              <w:t>руб.</w:t>
            </w:r>
          </w:p>
        </w:tc>
      </w:tr>
      <w:tr w:rsidR="00B70DB7" w:rsidRPr="003E376E" w14:paraId="7E6E6C7C" w14:textId="77777777" w:rsidTr="00EE7EFA">
        <w:tc>
          <w:tcPr>
            <w:tcW w:w="4673" w:type="dxa"/>
          </w:tcPr>
          <w:p w14:paraId="1D8962C5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 xml:space="preserve">Срок исполнения обеспеченного обязательства </w:t>
            </w:r>
          </w:p>
        </w:tc>
        <w:tc>
          <w:tcPr>
            <w:tcW w:w="4678" w:type="dxa"/>
          </w:tcPr>
          <w:p w14:paraId="3A9EF01D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До 06.09.2026</w:t>
            </w:r>
          </w:p>
        </w:tc>
      </w:tr>
      <w:tr w:rsidR="00B70DB7" w:rsidRPr="003E376E" w14:paraId="5D9152CB" w14:textId="77777777" w:rsidTr="00EE7EFA">
        <w:tc>
          <w:tcPr>
            <w:tcW w:w="4673" w:type="dxa"/>
          </w:tcPr>
          <w:p w14:paraId="6D44DD16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Способ обеспечения</w:t>
            </w:r>
          </w:p>
        </w:tc>
        <w:tc>
          <w:tcPr>
            <w:tcW w:w="4678" w:type="dxa"/>
          </w:tcPr>
          <w:p w14:paraId="05E28191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Залог</w:t>
            </w:r>
          </w:p>
        </w:tc>
      </w:tr>
      <w:tr w:rsidR="00B70DB7" w:rsidRPr="003E376E" w14:paraId="17CB46C4" w14:textId="77777777" w:rsidTr="00EE7EFA">
        <w:tc>
          <w:tcPr>
            <w:tcW w:w="4673" w:type="dxa"/>
          </w:tcPr>
          <w:p w14:paraId="2B221BA6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 xml:space="preserve">Размер и условия предоставления обеспечения, в том числе предмет и стоимость предмета залога, если способом обеспечения является залог, срок, на который обеспечение предоставлено </w:t>
            </w:r>
          </w:p>
        </w:tc>
        <w:tc>
          <w:tcPr>
            <w:tcW w:w="4678" w:type="dxa"/>
          </w:tcPr>
          <w:p w14:paraId="568B8A57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Размер предоставления обеспечения: 59 434 млн руб.</w:t>
            </w:r>
          </w:p>
          <w:p w14:paraId="4247200B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Условия предоставления обеспечения: Залогодатель предоставляет предмет залога в первоначальный залог, который вступает в силу с даты регистрации в ЕГРЮЛ. Залогодержатель вправе обратить взыскание на предмет залога в соответствии с условиями договора залога в судебном порядке,</w:t>
            </w:r>
          </w:p>
          <w:p w14:paraId="3DA52A2D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pacing w:val="-2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Предмет залога: 98,0198 %</w:t>
            </w:r>
            <w:r w:rsidRPr="003E376E">
              <w:rPr>
                <w:rFonts w:ascii="Arial" w:hAnsi="Arial" w:cs="Arial"/>
                <w:spacing w:val="-2"/>
                <w:szCs w:val="22"/>
              </w:rPr>
              <w:t xml:space="preserve"> долей в уставном капитале ООО «Интернет Решения». </w:t>
            </w:r>
          </w:p>
          <w:p w14:paraId="044FD492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pacing w:val="-2"/>
                <w:szCs w:val="22"/>
              </w:rPr>
            </w:pPr>
            <w:r w:rsidRPr="003E376E">
              <w:rPr>
                <w:rFonts w:ascii="Arial" w:hAnsi="Arial" w:cs="Arial"/>
                <w:spacing w:val="-2"/>
                <w:szCs w:val="22"/>
              </w:rPr>
              <w:t>Стоимость предмета залога: номинальная стоимость доли 898 042 563 руб.</w:t>
            </w:r>
          </w:p>
          <w:p w14:paraId="059A9ED0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pacing w:val="-2"/>
                <w:szCs w:val="22"/>
              </w:rPr>
              <w:t>Срок, на который обеспечение предоставлено: Обеспечение предоставлено на срок до 06.09.2029 или до даты полного исполнения обеспеченного обязательства (в зависимости от того, что наступает ранее).</w:t>
            </w:r>
          </w:p>
        </w:tc>
      </w:tr>
      <w:tr w:rsidR="00B70DB7" w:rsidRPr="003E376E" w14:paraId="462E9976" w14:textId="77777777" w:rsidTr="00EE7EFA">
        <w:tc>
          <w:tcPr>
            <w:tcW w:w="4673" w:type="dxa"/>
          </w:tcPr>
          <w:p w14:paraId="6C667F54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Факторы, которые могут привести к неисполнению или ненадлежащему исполнению обеспеченного обязательства, и вероятности возникновения таких факторов</w:t>
            </w:r>
          </w:p>
        </w:tc>
        <w:tc>
          <w:tcPr>
            <w:tcW w:w="4678" w:type="dxa"/>
          </w:tcPr>
          <w:p w14:paraId="332FA736" w14:textId="77777777" w:rsidR="00B70DB7" w:rsidRPr="003E376E" w:rsidRDefault="00B70DB7" w:rsidP="007D1166">
            <w:pPr>
              <w:pStyle w:val="Basic"/>
              <w:shd w:val="clear" w:color="auto" w:fill="FFFFFF" w:themeFill="background1"/>
              <w:ind w:firstLine="0"/>
              <w:rPr>
                <w:rFonts w:ascii="Arial" w:hAnsi="Arial" w:cs="Arial"/>
                <w:strike/>
                <w:szCs w:val="22"/>
              </w:rPr>
            </w:pPr>
            <w:r w:rsidRPr="003E376E">
              <w:rPr>
                <w:rFonts w:ascii="Arial" w:hAnsi="Arial" w:cs="Arial"/>
                <w:szCs w:val="22"/>
              </w:rPr>
              <w:t>Факторы, препятствующие надлежащему исполнению обеспеченного обязательства, по мнению Эмитента, отсутствуют</w:t>
            </w:r>
          </w:p>
        </w:tc>
      </w:tr>
    </w:tbl>
    <w:p w14:paraId="652BED2D" w14:textId="111864AA" w:rsidR="00B70DB7" w:rsidRPr="003E376E" w:rsidRDefault="00B70DB7" w:rsidP="00B70DB7">
      <w:pPr>
        <w:jc w:val="both"/>
        <w:rPr>
          <w:rFonts w:ascii="Arial" w:hAnsi="Arial" w:cs="Arial"/>
        </w:rPr>
      </w:pPr>
    </w:p>
    <w:p w14:paraId="6FDA88CC" w14:textId="2DBEFF69" w:rsidR="003E376E" w:rsidRPr="003E376E" w:rsidRDefault="003E376E" w:rsidP="00B70DB7">
      <w:pPr>
        <w:jc w:val="both"/>
        <w:rPr>
          <w:rFonts w:ascii="Arial" w:hAnsi="Arial" w:cs="Arial"/>
        </w:rPr>
      </w:pPr>
    </w:p>
    <w:p w14:paraId="5BFB261F" w14:textId="77777777" w:rsidR="003E376E" w:rsidRPr="003E376E" w:rsidRDefault="003E376E" w:rsidP="003E376E">
      <w:pPr>
        <w:pStyle w:val="2"/>
        <w:shd w:val="clear" w:color="auto" w:fill="FFFFFF" w:themeFill="background1"/>
        <w:spacing w:before="0" w:after="120"/>
        <w:jc w:val="both"/>
        <w:rPr>
          <w:rFonts w:ascii="Arial" w:hAnsi="Arial" w:cs="Arial"/>
        </w:rPr>
      </w:pPr>
      <w:bookmarkStart w:id="1" w:name="_Toc227003791"/>
      <w:r w:rsidRPr="003E376E">
        <w:rPr>
          <w:rFonts w:ascii="Arial" w:hAnsi="Arial" w:cs="Arial"/>
        </w:rPr>
        <w:t>2.2. Сведения о политике в области вознаграждения и (или) компенсации расходов, а также о размере вознаграждения и (или) компенсации расходов по каждому органу управления эмитента</w:t>
      </w:r>
      <w:bookmarkEnd w:id="1"/>
    </w:p>
    <w:p w14:paraId="4CF256D7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Основные положения политики в области вознаграждения и (или) компенсации расходов членов органов управления эмитента:</w:t>
      </w:r>
    </w:p>
    <w:p w14:paraId="07FA5F4F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10 декабря 2025 г. Общим собранием акционеров Общества утверждено Положение о вознаграждениях и компенсациях, выплачиваемых членам Совета Директоров, которое устанавливает принципы, основания, условия и порядок выплаты директорам вознаграждений за исполнение обязанностей членов Совета Директоров и компенсации расходов, понесенных в связи с исполнением своих обязанностей.</w:t>
      </w:r>
    </w:p>
    <w:p w14:paraId="2B270E13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b/>
          <w:bCs/>
          <w:szCs w:val="22"/>
          <w:u w:val="single"/>
        </w:rPr>
      </w:pPr>
      <w:r w:rsidRPr="003E376E">
        <w:rPr>
          <w:rFonts w:ascii="Arial" w:hAnsi="Arial" w:cs="Arial"/>
          <w:b/>
          <w:bCs/>
          <w:szCs w:val="22"/>
          <w:u w:val="single"/>
        </w:rPr>
        <w:t>Вознаграждение за участие в работе Совета Директоров</w:t>
      </w:r>
    </w:p>
    <w:p w14:paraId="1453C778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Право на получение вознаграждений за работу в Совете Директоров имеют только те директора, которые не являются Исполнительным Директорами (далее – «Соответствующий Директор»).</w:t>
      </w:r>
    </w:p>
    <w:p w14:paraId="6D1814E4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Каждый Соответствующий Директор имеет право на ежеквартальное вознаграждение, предоставляемое в рамках действующей на соответствующий момент времени Программы Мотивации, в размере:</w:t>
      </w:r>
    </w:p>
    <w:p w14:paraId="4FE667E9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lastRenderedPageBreak/>
        <w:t xml:space="preserve">(а) 1 250 обыкновенных акций Эмитента; или денежного эквивалента, равного стоимости указанного количества обыкновенных акций Эмитента (далее – «Вознаграждение по Программе Мотивации»). </w:t>
      </w:r>
    </w:p>
    <w:p w14:paraId="552D43DD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Возникновение права на получение Вознаграждения по Программе Мотивации («</w:t>
      </w:r>
      <w:proofErr w:type="spellStart"/>
      <w:r w:rsidRPr="003E376E">
        <w:rPr>
          <w:rFonts w:ascii="Arial" w:hAnsi="Arial" w:cs="Arial"/>
          <w:szCs w:val="22"/>
        </w:rPr>
        <w:t>вестинг</w:t>
      </w:r>
      <w:proofErr w:type="spellEnd"/>
      <w:r w:rsidRPr="003E376E">
        <w:rPr>
          <w:rFonts w:ascii="Arial" w:hAnsi="Arial" w:cs="Arial"/>
          <w:szCs w:val="22"/>
        </w:rPr>
        <w:t xml:space="preserve">») происходит в последний день каждого календарного квартала (далее – «Дата </w:t>
      </w:r>
      <w:proofErr w:type="spellStart"/>
      <w:r w:rsidRPr="003E376E">
        <w:rPr>
          <w:rFonts w:ascii="Arial" w:hAnsi="Arial" w:cs="Arial"/>
          <w:szCs w:val="22"/>
        </w:rPr>
        <w:t>Вестинга</w:t>
      </w:r>
      <w:proofErr w:type="spellEnd"/>
      <w:r w:rsidRPr="003E376E">
        <w:rPr>
          <w:rFonts w:ascii="Arial" w:hAnsi="Arial" w:cs="Arial"/>
          <w:szCs w:val="22"/>
        </w:rPr>
        <w:t>»), начиная с календарного квартала, когда Соответствующий Директор был избран или назначен в Совет Директоров. Право на получение Вознаграждения по Программе Мотивации прекращается с даты, когда полномочия Соответствующего Директора прекращаются.</w:t>
      </w:r>
    </w:p>
    <w:p w14:paraId="4491568B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 xml:space="preserve">Денежное вознаграждение, указанное в пункте (а), рассчитывается исходя из цены за одну обыкновенную акцию Эмитента, равную средневзвешенной цене одной обыкновенной акции Эмитента по результатам торгов на Бирже за последний торговый день, непосредственно предшествующий Дате </w:t>
      </w:r>
      <w:proofErr w:type="spellStart"/>
      <w:r w:rsidRPr="003E376E">
        <w:rPr>
          <w:rFonts w:ascii="Arial" w:hAnsi="Arial" w:cs="Arial"/>
          <w:szCs w:val="22"/>
        </w:rPr>
        <w:t>Вестинга</w:t>
      </w:r>
      <w:proofErr w:type="spellEnd"/>
      <w:r w:rsidRPr="003E376E">
        <w:rPr>
          <w:rFonts w:ascii="Arial" w:hAnsi="Arial" w:cs="Arial"/>
          <w:szCs w:val="22"/>
        </w:rPr>
        <w:t>. Вознаграждение по Программе Мотивации предоставляется Соответствующим Директорам администратором Программы Мотивации и (или) Обществом.</w:t>
      </w:r>
    </w:p>
    <w:p w14:paraId="16B1E37F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(б) Дополнительное денежное вознаграждение в размере 1 500 000 (один миллион пятьсот тысяч) рублей в год выплачивается каждому Соответствующему Директору за членство в любом комитете Совета Директоров.</w:t>
      </w:r>
    </w:p>
    <w:p w14:paraId="4171402D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(в) Дополнительное денежное вознаграждение в размере 4 000 000 (четыре миллиона) рублей в год выплачивается Соответствующему Директору, занимающему должность председателя Комитета по Аудиту Совета Директоров.</w:t>
      </w:r>
    </w:p>
    <w:p w14:paraId="30B7CB4D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(г) Дополнительное денежное вознаграждение в размере 4 000 000 (четыре миллиона) рублей в год выплачивается Соответствующему Директору, занимающему должность председателя Комитета по вознаграждениям Совета Директоров.</w:t>
      </w:r>
    </w:p>
    <w:p w14:paraId="15FF115B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(д) Дополнительное денежное вознаграждение в размере 2 500 000 (два миллиона пятьсот тысяч) рублей в год выплачивается Соответствующему Директору, занимающему должность председателя любого иного комитета Совета Директоров.</w:t>
      </w:r>
    </w:p>
    <w:p w14:paraId="7549955D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(е) Дополнительное денежное вознаграждение в размере 5 000 000 (пять миллионов) рублей в год выплачивается Соответствующему Директору, занимающему должность председателя Совета Директоров.</w:t>
      </w:r>
    </w:p>
    <w:p w14:paraId="22F411AA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Размер вознаграждения Соответствующего Директора не зависит от количества заседаний Совета Директоров и его комитетов, в которых принял участие этот Соответствующий Директор.</w:t>
      </w:r>
    </w:p>
    <w:p w14:paraId="08566A6C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Вознаграждения, предусмотренные пунктами (б)-(е) (далее – «Денежные Вознаграждения»), выплачиваются Соответствующим Директорам ежеквартально.</w:t>
      </w:r>
    </w:p>
    <w:p w14:paraId="763D6588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Для вновь избранных и (или) назначенных Соответствующих Директоров Денежные Вознаграждения за первый календарный квартал, в котором они были избраны (назначены), подлежат выплате в размере, пропорциональном количеству дней, в течение которых Соответствующий Директор исполнял свои обязанности, начиная с даты избрания (назначения). В случае прекращения полномочий Соответствующего Директора, Денежные Вознаграждения подлежат выплате в размере, пропорциональном количеству дней, в течение которых Соответствующий Директор исполнял свои обязанности в соответствующем календарном квартале, вплоть до даты прекращения полномочий.</w:t>
      </w:r>
    </w:p>
    <w:p w14:paraId="2C6D0A5E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b/>
          <w:bCs/>
          <w:szCs w:val="22"/>
          <w:u w:val="single"/>
        </w:rPr>
      </w:pPr>
      <w:r w:rsidRPr="003E376E">
        <w:rPr>
          <w:rFonts w:ascii="Arial" w:hAnsi="Arial" w:cs="Arial"/>
          <w:b/>
          <w:bCs/>
          <w:szCs w:val="22"/>
          <w:u w:val="single"/>
        </w:rPr>
        <w:t>Компенсация расходов, убытков и потерь директоров</w:t>
      </w:r>
    </w:p>
    <w:p w14:paraId="6E338AA4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 xml:space="preserve">Всем директорам компенсируются расходы, связанные с исполнением ими своих полномочий. К таким расходам относятся, в том числе, расходы на проезд, проживание и транспортное обслуживание в связи с проведением мероприятий, в которых директора участвуют по инициативе Общества или по собственной инициативе, но с согласия Общества и в его интересах. </w:t>
      </w:r>
    </w:p>
    <w:p w14:paraId="4A5AB541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lastRenderedPageBreak/>
        <w:t>Директорам выплачивается компенсация в случае попадания директора под санкции в соответствии с условиями, определенными в Положении о вознаграждениях и компенсациях, выплачиваемых членам Совета Директоров Эмитента.</w:t>
      </w:r>
    </w:p>
    <w:p w14:paraId="14E86C3C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>Эмитент или его дочернее общество вправе заключить с каждым директором соглашение о возмещении убытков и потерь, вызванных предъявлением к директору требований со стороны третьих лиц в связи с исполнением им обязанностей члена Совета Директоров, за исключением любых убытков и потерь, вызванных недобросовестными или неразумными действиями такого директора.</w:t>
      </w:r>
    </w:p>
    <w:p w14:paraId="338D09AC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szCs w:val="22"/>
        </w:rPr>
      </w:pPr>
      <w:r w:rsidRPr="003E376E">
        <w:rPr>
          <w:rFonts w:ascii="Arial" w:hAnsi="Arial" w:cs="Arial"/>
          <w:szCs w:val="22"/>
        </w:rPr>
        <w:t xml:space="preserve">Члены Совета Директоров Эмитента застрахованы в рамках страхового полиса для директоров и руководителей </w:t>
      </w:r>
      <w:proofErr w:type="spellStart"/>
      <w:r w:rsidRPr="003E376E">
        <w:rPr>
          <w:rFonts w:ascii="Arial" w:hAnsi="Arial" w:cs="Arial"/>
          <w:szCs w:val="22"/>
        </w:rPr>
        <w:t>Ozon</w:t>
      </w:r>
      <w:proofErr w:type="spellEnd"/>
      <w:r w:rsidRPr="003E376E">
        <w:rPr>
          <w:rFonts w:ascii="Arial" w:hAnsi="Arial" w:cs="Arial"/>
          <w:szCs w:val="22"/>
        </w:rPr>
        <w:t>. Хотя полис предоставляет широкое покрытие, у директоров и должностных лиц могут возникнуть незастрахованные обязательства. Компания освобождает членов Совета Директоров Эмитента от любой ответственности, возникающей по причине или в связи с исполнением ими своих обязанностей, при условии, что такая ответственность не наступает по причине их халатности, умышленных противоправных действий или умышленного введения в заблуждение. В ноябре 2025 г. полис страхования ответственности директоров и должностных лиц был продлен на следующий период длительностью один год и применяется ретроспективно с ноября 2020 г.</w:t>
      </w:r>
    </w:p>
    <w:p w14:paraId="44B8D716" w14:textId="77777777" w:rsidR="003E376E" w:rsidRPr="003E376E" w:rsidRDefault="003E376E" w:rsidP="003E376E">
      <w:pPr>
        <w:shd w:val="clear" w:color="auto" w:fill="FFFFFF" w:themeFill="background1"/>
        <w:spacing w:after="120"/>
        <w:jc w:val="both"/>
        <w:rPr>
          <w:rFonts w:ascii="Arial" w:hAnsi="Arial" w:cs="Arial"/>
        </w:rPr>
      </w:pPr>
      <w:r w:rsidRPr="003E376E">
        <w:rPr>
          <w:rFonts w:ascii="Arial" w:hAnsi="Arial" w:cs="Arial"/>
        </w:rPr>
        <w:t>Политика в области вознаграждения/компенсации расходов Генерального Директора отсутствует.</w:t>
      </w:r>
    </w:p>
    <w:p w14:paraId="02204B66" w14:textId="77777777" w:rsidR="003E376E" w:rsidRPr="003E376E" w:rsidRDefault="003E376E" w:rsidP="003E376E">
      <w:pPr>
        <w:shd w:val="clear" w:color="auto" w:fill="FFFFFF" w:themeFill="background1"/>
        <w:spacing w:after="120"/>
        <w:jc w:val="both"/>
        <w:rPr>
          <w:rFonts w:ascii="Arial" w:hAnsi="Arial" w:cs="Arial"/>
        </w:rPr>
      </w:pPr>
      <w:r w:rsidRPr="003E376E">
        <w:rPr>
          <w:rFonts w:ascii="Arial" w:hAnsi="Arial" w:cs="Arial"/>
          <w:b/>
          <w:bCs/>
        </w:rPr>
        <w:t>Сведения о размере вознаграждения по каждому из органов управления (за исключением физического лица, осуществляющего функции единоличного исполнительного органа управления Эмитента)</w:t>
      </w:r>
    </w:p>
    <w:p w14:paraId="2BF94AD1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b/>
          <w:bCs/>
          <w:szCs w:val="22"/>
        </w:rPr>
      </w:pPr>
      <w:r w:rsidRPr="003E376E">
        <w:rPr>
          <w:rFonts w:ascii="Arial" w:hAnsi="Arial" w:cs="Arial"/>
          <w:b/>
          <w:bCs/>
          <w:szCs w:val="22"/>
        </w:rPr>
        <w:t xml:space="preserve">Орган управления: </w:t>
      </w:r>
      <w:r w:rsidRPr="003E376E">
        <w:rPr>
          <w:rFonts w:ascii="Arial" w:hAnsi="Arial" w:cs="Arial"/>
          <w:szCs w:val="22"/>
        </w:rPr>
        <w:t>Совет Директоров</w:t>
      </w:r>
    </w:p>
    <w:p w14:paraId="15B807B3" w14:textId="77777777" w:rsidR="003E376E" w:rsidRPr="003E376E" w:rsidRDefault="003E376E" w:rsidP="003E376E">
      <w:pPr>
        <w:pStyle w:val="Basic"/>
        <w:shd w:val="clear" w:color="auto" w:fill="FFFFFF" w:themeFill="background1"/>
        <w:ind w:firstLine="0"/>
        <w:rPr>
          <w:rFonts w:ascii="Arial" w:hAnsi="Arial" w:cs="Arial"/>
          <w:b/>
          <w:bCs/>
          <w:szCs w:val="22"/>
        </w:rPr>
      </w:pPr>
      <w:r w:rsidRPr="003E376E">
        <w:rPr>
          <w:rFonts w:ascii="Arial" w:hAnsi="Arial" w:cs="Arial"/>
          <w:b/>
          <w:bCs/>
          <w:szCs w:val="22"/>
        </w:rPr>
        <w:t xml:space="preserve">Единица измерения: </w:t>
      </w:r>
      <w:r w:rsidRPr="003E376E">
        <w:rPr>
          <w:rFonts w:ascii="Arial" w:hAnsi="Arial" w:cs="Arial"/>
          <w:szCs w:val="22"/>
        </w:rPr>
        <w:t>тыс. руб.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9"/>
        <w:gridCol w:w="1686"/>
      </w:tblGrid>
      <w:tr w:rsidR="003E376E" w:rsidRPr="003E376E" w14:paraId="495E3C70" w14:textId="77777777" w:rsidTr="007D1166">
        <w:trPr>
          <w:trHeight w:val="280"/>
        </w:trPr>
        <w:tc>
          <w:tcPr>
            <w:tcW w:w="4098" w:type="pct"/>
            <w:shd w:val="clear" w:color="000000" w:fill="FFFFFF"/>
            <w:tcMar>
              <w:left w:w="0" w:type="dxa"/>
              <w:right w:w="0" w:type="dxa"/>
            </w:tcMar>
          </w:tcPr>
          <w:p w14:paraId="500C2B5A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both"/>
              <w:rPr>
                <w:rFonts w:ascii="Arial" w:hAnsi="Arial" w:cs="Arial"/>
                <w:b/>
                <w:bCs/>
              </w:rPr>
            </w:pPr>
            <w:r w:rsidRPr="003E376E">
              <w:rPr>
                <w:rFonts w:ascii="Arial" w:hAnsi="Arial" w:cs="Arial"/>
                <w:b/>
                <w:bCs/>
              </w:rPr>
              <w:t>Наименование показателя</w:t>
            </w:r>
          </w:p>
        </w:tc>
        <w:tc>
          <w:tcPr>
            <w:tcW w:w="902" w:type="pct"/>
            <w:shd w:val="clear" w:color="000000" w:fill="FFFFFF"/>
          </w:tcPr>
          <w:p w14:paraId="7DE806EA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center"/>
              <w:rPr>
                <w:rFonts w:ascii="Arial" w:hAnsi="Arial" w:cs="Arial"/>
                <w:b/>
                <w:bCs/>
              </w:rPr>
            </w:pPr>
            <w:r w:rsidRPr="003E376E">
              <w:rPr>
                <w:rFonts w:ascii="Arial" w:hAnsi="Arial" w:cs="Arial"/>
                <w:b/>
                <w:bCs/>
              </w:rPr>
              <w:t>2025, 12 мес.</w:t>
            </w:r>
          </w:p>
        </w:tc>
      </w:tr>
      <w:tr w:rsidR="003E376E" w:rsidRPr="003E376E" w14:paraId="6A6DE3EE" w14:textId="77777777" w:rsidTr="007D1166">
        <w:trPr>
          <w:trHeight w:val="728"/>
        </w:trPr>
        <w:tc>
          <w:tcPr>
            <w:tcW w:w="4098" w:type="pct"/>
            <w:shd w:val="clear" w:color="000000" w:fill="FFFFFF"/>
            <w:tcMar>
              <w:left w:w="0" w:type="dxa"/>
              <w:right w:w="0" w:type="dxa"/>
            </w:tcMar>
          </w:tcPr>
          <w:p w14:paraId="3F417139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both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Заработная плата членов органов управления Эмитента, являющихся (являвшихся) его работниками, в том числе работающих (работавших) по совместительству*</w:t>
            </w:r>
          </w:p>
        </w:tc>
        <w:tc>
          <w:tcPr>
            <w:tcW w:w="902" w:type="pct"/>
            <w:shd w:val="clear" w:color="auto" w:fill="FFFFFF" w:themeFill="background1"/>
          </w:tcPr>
          <w:p w14:paraId="4CA17E0F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center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0</w:t>
            </w:r>
          </w:p>
        </w:tc>
      </w:tr>
      <w:tr w:rsidR="003E376E" w:rsidRPr="003E376E" w14:paraId="0F3DD49F" w14:textId="77777777" w:rsidTr="007D1166">
        <w:trPr>
          <w:trHeight w:val="280"/>
        </w:trPr>
        <w:tc>
          <w:tcPr>
            <w:tcW w:w="4098" w:type="pct"/>
            <w:shd w:val="clear" w:color="000000" w:fill="FFFFFF"/>
            <w:tcMar>
              <w:left w:w="0" w:type="dxa"/>
              <w:right w:w="0" w:type="dxa"/>
            </w:tcMar>
          </w:tcPr>
          <w:p w14:paraId="14CE238A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both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Премии</w:t>
            </w:r>
          </w:p>
        </w:tc>
        <w:tc>
          <w:tcPr>
            <w:tcW w:w="902" w:type="pct"/>
            <w:shd w:val="clear" w:color="auto" w:fill="FFFFFF" w:themeFill="background1"/>
          </w:tcPr>
          <w:p w14:paraId="43362532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center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0</w:t>
            </w:r>
          </w:p>
        </w:tc>
      </w:tr>
      <w:tr w:rsidR="003E376E" w:rsidRPr="003E376E" w14:paraId="1E72800D" w14:textId="77777777" w:rsidTr="007D1166">
        <w:trPr>
          <w:trHeight w:val="280"/>
        </w:trPr>
        <w:tc>
          <w:tcPr>
            <w:tcW w:w="4098" w:type="pct"/>
            <w:shd w:val="clear" w:color="000000" w:fill="FFFFFF"/>
            <w:tcMar>
              <w:left w:w="0" w:type="dxa"/>
              <w:right w:w="0" w:type="dxa"/>
            </w:tcMar>
          </w:tcPr>
          <w:p w14:paraId="521288FD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both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Комиссионные</w:t>
            </w:r>
          </w:p>
        </w:tc>
        <w:tc>
          <w:tcPr>
            <w:tcW w:w="902" w:type="pct"/>
            <w:shd w:val="clear" w:color="auto" w:fill="FFFFFF" w:themeFill="background1"/>
          </w:tcPr>
          <w:p w14:paraId="2C1E38B7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center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0</w:t>
            </w:r>
          </w:p>
        </w:tc>
      </w:tr>
      <w:tr w:rsidR="003E376E" w:rsidRPr="003E376E" w14:paraId="1B41D149" w14:textId="77777777" w:rsidTr="007D1166">
        <w:trPr>
          <w:trHeight w:val="496"/>
        </w:trPr>
        <w:tc>
          <w:tcPr>
            <w:tcW w:w="4098" w:type="pct"/>
            <w:shd w:val="clear" w:color="000000" w:fill="FFFFFF"/>
            <w:tcMar>
              <w:left w:w="0" w:type="dxa"/>
              <w:right w:w="0" w:type="dxa"/>
            </w:tcMar>
          </w:tcPr>
          <w:p w14:paraId="29A735B6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both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Вознаграждения, отдельно выплаченные за участие в работе органа управления</w:t>
            </w:r>
          </w:p>
        </w:tc>
        <w:tc>
          <w:tcPr>
            <w:tcW w:w="902" w:type="pct"/>
            <w:shd w:val="clear" w:color="auto" w:fill="FFFFFF" w:themeFill="background1"/>
          </w:tcPr>
          <w:p w14:paraId="0EC4496F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center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27,375</w:t>
            </w:r>
          </w:p>
        </w:tc>
      </w:tr>
      <w:tr w:rsidR="003E376E" w:rsidRPr="003E376E" w14:paraId="2181DFDB" w14:textId="77777777" w:rsidTr="007D1166">
        <w:trPr>
          <w:trHeight w:val="280"/>
        </w:trPr>
        <w:tc>
          <w:tcPr>
            <w:tcW w:w="4098" w:type="pct"/>
            <w:shd w:val="clear" w:color="000000" w:fill="FFFFFF"/>
            <w:tcMar>
              <w:left w:w="0" w:type="dxa"/>
              <w:right w:w="0" w:type="dxa"/>
            </w:tcMar>
          </w:tcPr>
          <w:p w14:paraId="4706AC92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both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Иные виды вознаграждений</w:t>
            </w:r>
          </w:p>
        </w:tc>
        <w:tc>
          <w:tcPr>
            <w:tcW w:w="902" w:type="pct"/>
            <w:shd w:val="clear" w:color="auto" w:fill="FFFFFF" w:themeFill="background1"/>
          </w:tcPr>
          <w:p w14:paraId="661728B7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center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94,597</w:t>
            </w:r>
          </w:p>
        </w:tc>
      </w:tr>
      <w:tr w:rsidR="003E376E" w:rsidRPr="003E376E" w14:paraId="503DA2A6" w14:textId="77777777" w:rsidTr="007D1166">
        <w:trPr>
          <w:trHeight w:val="728"/>
        </w:trPr>
        <w:tc>
          <w:tcPr>
            <w:tcW w:w="4098" w:type="pct"/>
            <w:shd w:val="clear" w:color="000000" w:fill="FFFFFF"/>
            <w:tcMar>
              <w:left w:w="0" w:type="dxa"/>
              <w:right w:w="0" w:type="dxa"/>
            </w:tcMar>
          </w:tcPr>
          <w:p w14:paraId="0E759334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both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Расходы, связанные с исполнением функций членов органов управления Эмитента, компенсированные Эмитентом</w:t>
            </w:r>
          </w:p>
        </w:tc>
        <w:tc>
          <w:tcPr>
            <w:tcW w:w="902" w:type="pct"/>
            <w:shd w:val="clear" w:color="auto" w:fill="FFFFFF" w:themeFill="background1"/>
          </w:tcPr>
          <w:p w14:paraId="4F9CDFAC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center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0</w:t>
            </w:r>
          </w:p>
        </w:tc>
      </w:tr>
      <w:tr w:rsidR="003E376E" w:rsidRPr="003E376E" w14:paraId="72B47265" w14:textId="77777777" w:rsidTr="007D1166">
        <w:trPr>
          <w:trHeight w:val="280"/>
        </w:trPr>
        <w:tc>
          <w:tcPr>
            <w:tcW w:w="4098" w:type="pct"/>
            <w:shd w:val="clear" w:color="000000" w:fill="FFFFFF"/>
            <w:tcMar>
              <w:left w:w="0" w:type="dxa"/>
              <w:right w:w="0" w:type="dxa"/>
            </w:tcMar>
          </w:tcPr>
          <w:p w14:paraId="679599FC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both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ИТОГО</w:t>
            </w:r>
          </w:p>
        </w:tc>
        <w:tc>
          <w:tcPr>
            <w:tcW w:w="902" w:type="pct"/>
            <w:shd w:val="clear" w:color="auto" w:fill="FFFFFF" w:themeFill="background1"/>
          </w:tcPr>
          <w:p w14:paraId="71415706" w14:textId="77777777" w:rsidR="003E376E" w:rsidRPr="003E376E" w:rsidRDefault="003E376E" w:rsidP="007D1166">
            <w:pPr>
              <w:shd w:val="clear" w:color="auto" w:fill="FFFFFF" w:themeFill="background1"/>
              <w:spacing w:after="120"/>
              <w:jc w:val="center"/>
              <w:rPr>
                <w:rFonts w:ascii="Arial" w:hAnsi="Arial" w:cs="Arial"/>
              </w:rPr>
            </w:pPr>
            <w:r w:rsidRPr="003E376E">
              <w:rPr>
                <w:rFonts w:ascii="Arial" w:hAnsi="Arial" w:cs="Arial"/>
              </w:rPr>
              <w:t>121,972</w:t>
            </w:r>
          </w:p>
        </w:tc>
      </w:tr>
    </w:tbl>
    <w:p w14:paraId="0F957837" w14:textId="77777777" w:rsidR="003E376E" w:rsidRPr="003E376E" w:rsidRDefault="003E376E" w:rsidP="003E376E">
      <w:pPr>
        <w:shd w:val="clear" w:color="auto" w:fill="FFFFFF" w:themeFill="background1"/>
        <w:spacing w:after="120"/>
        <w:jc w:val="both"/>
        <w:rPr>
          <w:rFonts w:ascii="Arial" w:eastAsia="Times New Roman" w:hAnsi="Arial" w:cs="Arial"/>
        </w:rPr>
      </w:pPr>
      <w:r w:rsidRPr="003E376E">
        <w:rPr>
          <w:rFonts w:ascii="Arial" w:hAnsi="Arial" w:cs="Arial"/>
          <w:b/>
          <w:bCs/>
          <w:shd w:val="clear" w:color="auto" w:fill="FFFFFF"/>
        </w:rPr>
        <w:t>*</w:t>
      </w:r>
      <w:r w:rsidRPr="003E376E">
        <w:rPr>
          <w:rFonts w:ascii="Arial" w:eastAsia="Times New Roman" w:hAnsi="Arial" w:cs="Arial"/>
          <w:shd w:val="clear" w:color="auto" w:fill="FFFFFF"/>
        </w:rPr>
        <w:t>Информация по заработной плате не предоставляется, поскольку члены Совета директоров, за исключением лица, одновременно осуществляющего функции единоличного исполнительного органа и члена Совета директоров Эмитента, не являются (не являлись) работниками Эмитента</w:t>
      </w:r>
      <w:r w:rsidRPr="003E376E">
        <w:rPr>
          <w:rFonts w:ascii="Arial" w:eastAsia="Times New Roman" w:hAnsi="Arial" w:cs="Arial"/>
        </w:rPr>
        <w:t>.</w:t>
      </w:r>
    </w:p>
    <w:p w14:paraId="13591805" w14:textId="7431A2A1" w:rsidR="003E376E" w:rsidRPr="003E376E" w:rsidRDefault="003E376E" w:rsidP="003E376E">
      <w:pPr>
        <w:jc w:val="both"/>
        <w:rPr>
          <w:rFonts w:ascii="Arial" w:hAnsi="Arial" w:cs="Arial"/>
        </w:rPr>
      </w:pPr>
      <w:r w:rsidRPr="003E376E">
        <w:rPr>
          <w:rFonts w:ascii="Arial" w:eastAsia="Times New Roman" w:hAnsi="Arial" w:cs="Arial"/>
        </w:rPr>
        <w:t>В соответствии с Положением о раскрытии информации, в данном пункте не описываются сведения о размере вознаграждения и (или) компенсации расходов физического лица, занимающего должность (осуществляющего функции) единоличного исполнительного органа управления Эмитента.</w:t>
      </w:r>
    </w:p>
    <w:sectPr w:rsidR="003E376E" w:rsidRPr="003E3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11CB4" w14:textId="77777777" w:rsidR="00B70DB7" w:rsidRDefault="00B70DB7" w:rsidP="00B70DB7">
      <w:pPr>
        <w:spacing w:after="0" w:line="240" w:lineRule="auto"/>
      </w:pPr>
      <w:r>
        <w:separator/>
      </w:r>
    </w:p>
  </w:endnote>
  <w:endnote w:type="continuationSeparator" w:id="0">
    <w:p w14:paraId="4B27DA5A" w14:textId="77777777" w:rsidR="00B70DB7" w:rsidRDefault="00B70DB7" w:rsidP="00B7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 Light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Calibri"/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F4564" w14:textId="77777777" w:rsidR="00B70DB7" w:rsidRDefault="00B70DB7" w:rsidP="00B70DB7">
      <w:pPr>
        <w:spacing w:after="0" w:line="240" w:lineRule="auto"/>
      </w:pPr>
      <w:r>
        <w:separator/>
      </w:r>
    </w:p>
  </w:footnote>
  <w:footnote w:type="continuationSeparator" w:id="0">
    <w:p w14:paraId="39A69840" w14:textId="77777777" w:rsidR="00B70DB7" w:rsidRDefault="00B70DB7" w:rsidP="00B70DB7">
      <w:pPr>
        <w:spacing w:after="0" w:line="240" w:lineRule="auto"/>
      </w:pPr>
      <w:r>
        <w:continuationSeparator/>
      </w:r>
    </w:p>
  </w:footnote>
  <w:footnote w:id="1">
    <w:p w14:paraId="04C20B5A" w14:textId="77777777" w:rsidR="00B70DB7" w:rsidRDefault="00B70DB7" w:rsidP="00B70DB7">
      <w:pPr>
        <w:pStyle w:val="a6"/>
        <w:jc w:val="both"/>
      </w:pPr>
      <w:r w:rsidRPr="00A05EEE">
        <w:rPr>
          <w:rStyle w:val="a8"/>
          <w:rFonts w:ascii="Arial" w:hAnsi="Arial" w:cs="Arial"/>
          <w:sz w:val="16"/>
          <w:szCs w:val="16"/>
        </w:rPr>
        <w:footnoteRef/>
      </w:r>
      <w:r w:rsidRPr="00A05EEE">
        <w:rPr>
          <w:rStyle w:val="a8"/>
          <w:rFonts w:ascii="Arial" w:hAnsi="Arial" w:cs="Arial"/>
          <w:sz w:val="16"/>
          <w:szCs w:val="16"/>
        </w:rPr>
        <w:t xml:space="preserve"> </w:t>
      </w:r>
      <w:r w:rsidRPr="00A05EEE">
        <w:rPr>
          <w:rFonts w:ascii="Arial" w:hAnsi="Arial" w:cs="Arial"/>
          <w:color w:val="000000"/>
          <w:sz w:val="16"/>
          <w:szCs w:val="16"/>
        </w:rPr>
        <w:t>В настоящем пункте при описании сделки по предоставлению обеспечения, имеющей для Эмитента (Группы) существенное значение, в качестве «Размера предоставленного обеспечения» на конец отчетного периода указана балансовая величина обязательств Группы, определенная на основании консолидированной финансовой отчетности Группы, исполнение которых обеспечено соответствующей сделкой на соответствующую отчетную дату.</w:t>
      </w:r>
    </w:p>
  </w:footnote>
  <w:footnote w:id="2">
    <w:p w14:paraId="233A3A1D" w14:textId="77777777" w:rsidR="00B70DB7" w:rsidRDefault="00B70DB7" w:rsidP="00B70DB7">
      <w:pPr>
        <w:pStyle w:val="a6"/>
        <w:jc w:val="both"/>
      </w:pPr>
      <w:r w:rsidRPr="00D7597B">
        <w:rPr>
          <w:rStyle w:val="a8"/>
          <w:rFonts w:ascii="Arial" w:hAnsi="Arial" w:cs="Arial"/>
          <w:sz w:val="16"/>
          <w:szCs w:val="16"/>
        </w:rPr>
        <w:footnoteRef/>
      </w:r>
      <w:r w:rsidRPr="00D7597B">
        <w:rPr>
          <w:rStyle w:val="a8"/>
          <w:rFonts w:ascii="Arial" w:hAnsi="Arial" w:cs="Arial"/>
          <w:sz w:val="16"/>
          <w:szCs w:val="16"/>
        </w:rPr>
        <w:t xml:space="preserve"> </w:t>
      </w:r>
      <w:r w:rsidRPr="00A05EEE">
        <w:rPr>
          <w:rFonts w:ascii="Arial" w:hAnsi="Arial" w:cs="Arial"/>
          <w:color w:val="000000"/>
          <w:sz w:val="16"/>
          <w:szCs w:val="16"/>
        </w:rPr>
        <w:t>В настоящем пункте при описании сделки по предоставлению обеспечения, имеющей для Эмитента (Группы) существенное значение, в качестве «Размера предоставленного обеспечения» на конец отчетного периода указана балансовая величина обязательств Группы, определенная на основании консолидированной финансовой отчетности Группы, исполнение которых обеспечено соответствующей сделкой на соответствующую отчетную дату.</w:t>
      </w:r>
    </w:p>
  </w:footnote>
  <w:footnote w:id="3">
    <w:p w14:paraId="0BD429C7" w14:textId="77777777" w:rsidR="00B70DB7" w:rsidRDefault="00B70DB7" w:rsidP="00B70DB7">
      <w:pPr>
        <w:pStyle w:val="a6"/>
        <w:jc w:val="both"/>
      </w:pPr>
      <w:r w:rsidRPr="00A05EEE">
        <w:rPr>
          <w:rStyle w:val="a8"/>
          <w:rFonts w:ascii="Arial" w:hAnsi="Arial" w:cs="Arial"/>
          <w:sz w:val="16"/>
          <w:szCs w:val="16"/>
        </w:rPr>
        <w:footnoteRef/>
      </w:r>
      <w:r w:rsidRPr="00A05EEE">
        <w:rPr>
          <w:rStyle w:val="a8"/>
          <w:rFonts w:ascii="Arial" w:hAnsi="Arial" w:cs="Arial"/>
          <w:sz w:val="16"/>
          <w:szCs w:val="16"/>
        </w:rPr>
        <w:t xml:space="preserve"> </w:t>
      </w:r>
      <w:r w:rsidRPr="00A05EEE">
        <w:rPr>
          <w:rFonts w:ascii="Arial" w:hAnsi="Arial" w:cs="Arial"/>
          <w:color w:val="000000"/>
          <w:sz w:val="16"/>
          <w:szCs w:val="16"/>
        </w:rPr>
        <w:t>В настоящем пункте при описании сделки по предоставлению обеспечения, имеющей для Эмитента (Группы) существенное значение, в качестве «Размера предоставленного обеспечения» на конец отчетного периода указана балансовая величина обязательств Группы, определенная на основании консолидированной финансовой отчетности Группы, исполнение которых обеспечено соответствующей сделкой на соответствующую отчетную дату.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C3BC6"/>
    <w:multiLevelType w:val="hybridMultilevel"/>
    <w:tmpl w:val="9000B6F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D624443"/>
    <w:multiLevelType w:val="hybridMultilevel"/>
    <w:tmpl w:val="F04E5E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3C"/>
    <w:rsid w:val="003E376E"/>
    <w:rsid w:val="00405E53"/>
    <w:rsid w:val="004F65CF"/>
    <w:rsid w:val="00677232"/>
    <w:rsid w:val="0075623C"/>
    <w:rsid w:val="007A52BF"/>
    <w:rsid w:val="009B1035"/>
    <w:rsid w:val="00AE4566"/>
    <w:rsid w:val="00B70DB7"/>
    <w:rsid w:val="00EE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F1C67"/>
  <w15:chartTrackingRefBased/>
  <w15:docId w15:val="{F5D342B8-124C-4136-9CCB-F6202611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9"/>
    <w:qFormat/>
    <w:rsid w:val="003E376E"/>
    <w:pPr>
      <w:widowControl w:val="0"/>
      <w:autoSpaceDE w:val="0"/>
      <w:autoSpaceDN w:val="0"/>
      <w:adjustRightInd w:val="0"/>
      <w:spacing w:before="240" w:after="40" w:line="240" w:lineRule="auto"/>
      <w:outlineLvl w:val="1"/>
    </w:pPr>
    <w:rPr>
      <w:rFonts w:ascii="Times New Roman" w:eastAsiaTheme="minorEastAsia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5E5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05E5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05E53"/>
    <w:rPr>
      <w:color w:val="605E5C"/>
      <w:shd w:val="clear" w:color="auto" w:fill="E1DFDD"/>
    </w:rPr>
  </w:style>
  <w:style w:type="paragraph" w:customStyle="1" w:styleId="Basic">
    <w:name w:val="Basic"/>
    <w:basedOn w:val="a"/>
    <w:link w:val="BasicChar"/>
    <w:qFormat/>
    <w:rsid w:val="00B70DB7"/>
    <w:pPr>
      <w:autoSpaceDE w:val="0"/>
      <w:autoSpaceDN w:val="0"/>
      <w:spacing w:after="120" w:line="240" w:lineRule="auto"/>
      <w:ind w:firstLine="539"/>
      <w:jc w:val="both"/>
    </w:pPr>
    <w:rPr>
      <w:rFonts w:ascii="Times New Roman" w:eastAsiaTheme="minorEastAsia" w:hAnsi="Times New Roman" w:cs="Times New Roman"/>
      <w:szCs w:val="20"/>
      <w:lang w:eastAsia="ru-RU"/>
    </w:rPr>
  </w:style>
  <w:style w:type="character" w:customStyle="1" w:styleId="BasicChar">
    <w:name w:val="Basic Char"/>
    <w:link w:val="Basic"/>
    <w:locked/>
    <w:rsid w:val="00B70DB7"/>
    <w:rPr>
      <w:rFonts w:ascii="Times New Roman" w:eastAsiaTheme="minorEastAsia" w:hAnsi="Times New Roman" w:cs="Times New Roman"/>
      <w:szCs w:val="20"/>
      <w:lang w:eastAsia="ru-RU"/>
    </w:rPr>
  </w:style>
  <w:style w:type="paragraph" w:styleId="a6">
    <w:name w:val="footnote text"/>
    <w:basedOn w:val="a"/>
    <w:link w:val="a7"/>
    <w:uiPriority w:val="99"/>
    <w:rsid w:val="00B70DB7"/>
    <w:pPr>
      <w:autoSpaceDE w:val="0"/>
      <w:autoSpaceDN w:val="0"/>
      <w:spacing w:after="120" w:line="240" w:lineRule="auto"/>
    </w:pPr>
    <w:rPr>
      <w:rFonts w:ascii="Times New Roman" w:eastAsiaTheme="minorEastAsia" w:hAnsi="Times New Roman" w:cs="Times New Roman"/>
      <w:szCs w:val="20"/>
      <w:lang w:eastAsia="ru-RU"/>
    </w:rPr>
  </w:style>
  <w:style w:type="character" w:customStyle="1" w:styleId="a7">
    <w:name w:val="Текст сноски Знак"/>
    <w:basedOn w:val="a0"/>
    <w:link w:val="a6"/>
    <w:uiPriority w:val="99"/>
    <w:rsid w:val="00B70DB7"/>
    <w:rPr>
      <w:rFonts w:ascii="Times New Roman" w:eastAsiaTheme="minorEastAsia" w:hAnsi="Times New Roman" w:cs="Times New Roman"/>
      <w:szCs w:val="20"/>
      <w:lang w:eastAsia="ru-RU"/>
    </w:rPr>
  </w:style>
  <w:style w:type="character" w:styleId="a8">
    <w:name w:val="footnote reference"/>
    <w:basedOn w:val="a0"/>
    <w:uiPriority w:val="99"/>
    <w:rsid w:val="00B70DB7"/>
    <w:rPr>
      <w:vertAlign w:val="superscript"/>
    </w:rPr>
  </w:style>
  <w:style w:type="table" w:styleId="a9">
    <w:name w:val="Table Grid"/>
    <w:aliases w:val="Шаблон оглавление,Tabla Microsoft Servicios"/>
    <w:basedOn w:val="a1"/>
    <w:uiPriority w:val="39"/>
    <w:rsid w:val="00B70DB7"/>
    <w:pPr>
      <w:spacing w:after="0" w:line="240" w:lineRule="auto"/>
    </w:pPr>
    <w:rPr>
      <w:rFonts w:ascii="Times New Roman" w:eastAsiaTheme="minorEastAsia" w:hAnsi="Times New Roman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3E376E"/>
    <w:rPr>
      <w:rFonts w:ascii="Times New Roman" w:eastAsiaTheme="minorEastAsia" w:hAnsi="Times New Roman" w:cs="Times New Roman"/>
      <w:b/>
      <w:bCs/>
      <w:lang w:eastAsia="ru-RU"/>
    </w:rPr>
  </w:style>
  <w:style w:type="character" w:styleId="aa">
    <w:name w:val="FollowedHyperlink"/>
    <w:basedOn w:val="a0"/>
    <w:uiPriority w:val="99"/>
    <w:semiHidden/>
    <w:unhideWhenUsed/>
    <w:rsid w:val="00EE7E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-disclosure.ru/portal/files.aspx?id=39583&amp;type=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2FB46-E927-49EF-8B65-1816C5539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2174</Words>
  <Characters>12392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Pribylova Mariya Sergeevna</dc:creator>
  <cp:keywords/>
  <dc:description/>
  <cp:lastModifiedBy>Pribylova Mariya Sergeevna</cp:lastModifiedBy>
  <cp:revision>5</cp:revision>
  <dcterms:created xsi:type="dcterms:W3CDTF">2026-05-19T12:48:00Z</dcterms:created>
  <dcterms:modified xsi:type="dcterms:W3CDTF">2026-05-20T15:24:00Z</dcterms:modified>
</cp:coreProperties>
</file>