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Анализ данных и защита антиспама</w:t>
      </w:r>
    </w:p>
    <w:p>
      <w:r>
        <w:t>Ражнов Андрей, МКБ251. Эта версия развивает решение хакатона по фишинговым URL.</w:t>
      </w:r>
    </w:p>
    <w:p>
      <w:r>
        <w:t>Основной результат — модель писем с автономными признаками ссылок и проверяемым</w:t>
      </w:r>
    </w:p>
    <w:p>
      <w:r>
        <w:t>разделением данных. Результаты турнира и антиспама оцениваются отдельно.</w:t>
      </w:r>
    </w:p>
    <w:p>
      <w:pPr>
        <w:pStyle w:val="Heading1"/>
      </w:pPr>
      <w:r>
        <w:t>Источники и очистка</w:t>
      </w:r>
    </w:p>
    <w:p>
      <w:r>
        <w:t>SpamAssassin и Ling-Spam дают исходный текст. Добавлены 25 синтетических нормальных</w:t>
      </w:r>
    </w:p>
    <w:p>
      <w:r>
        <w:t>транзакционных писем. SpamBase содержит числовые признаки; его строки здесь не</w:t>
      </w:r>
    </w:p>
    <w:p>
      <w:r>
        <w:t>участвуют в обучении. Исходный пул 9055; нормализация регистра и пробелов,</w:t>
      </w:r>
    </w:p>
    <w:p>
      <w:r>
        <w:t>дедупликация и удаление совпадений с тестом оставляют 7848 писем.</w:t>
      </w:r>
    </w:p>
    <w:p>
      <w:r>
        <w:t>Из них 6278 используются для обучения и 1570 — для выбора порога.</w:t>
      </w:r>
    </w:p>
    <w:p>
      <w:r>
        <w:t>Все 1545 тестовых текстов исключены из обеих частей. Исторически 1203 из них</w:t>
      </w:r>
    </w:p>
    <w:p>
      <w:r>
        <w:t>встречались в исходном пуле, поэтому без удаления оценка была бы оптимистичной.</w:t>
      </w:r>
    </w:p>
    <w:p>
      <w:pPr>
        <w:pStyle w:val="Heading1"/>
      </w:pPr>
      <w:r>
        <w:t>Связь с хакатоном</w:t>
      </w:r>
    </w:p>
    <w:p>
      <w:r>
        <w:t>Перенесён конкретный исходный модуль, зафиксированы commit и SHA256.</w:t>
      </w:r>
    </w:p>
    <w:p>
      <w:r>
        <w:t>Для каждой ссылки вычисляются 24 автономных признака; по письму — максимумы,</w:t>
      </w:r>
    </w:p>
    <w:p>
      <w:r>
        <w:t>средние, счётчик и усечение. Получены 50 новых признаков.</w:t>
      </w:r>
    </w:p>
    <w:p>
      <w:r>
        <w:t>Сетевые снимки хакатона отражают состояние старых доменов, поэтому в проверке</w:t>
      </w:r>
    </w:p>
    <w:p>
      <w:r>
        <w:t>новых писем не используются. Открывать потенциально опасные ссылки не требуется.</w:t>
      </w:r>
    </w:p>
    <w:p>
      <w:r>
        <w:t>Метки «фишинг» и «спам» различаются; модели обучены на разных корпусах.</w:t>
      </w:r>
    </w:p>
    <w:p>
      <w:pPr>
        <w:pStyle w:val="Heading1"/>
      </w:pPr>
      <w:r>
        <w:t>Как проверялось качество</w:t>
      </w:r>
    </w:p>
    <w:p>
      <w:r>
        <w:t>Пять фолдов применены внутри development. Базовые вероятности для мета-модели —</w:t>
      </w:r>
    </w:p>
    <w:p>
      <w:r>
        <w:t>OOF: каждая строка предсказана базовой моделью, которая на ней не обучалась.</w:t>
      </w:r>
    </w:p>
    <w:p>
      <w:r>
        <w:t>Финальная мета-модель обучена на этих вероятностях. Порог 0.710376</w:t>
      </w:r>
    </w:p>
    <w:p>
      <w:r>
        <w:t>выбран на validation при ограничении FPR ≤ 1 %. Тест не выбирал порог.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cantSplit/>
          <w:tblHeader/>
        </w:trPr>
        <w:tc>
          <w:tcPr>
            <w:tcW w:type="dxa" w:w="1709"/>
          </w:tcPr>
          <w:p>
            <w:pPr>
              <w:keepNext/>
            </w:pPr>
            <w:r>
              <w:t>Оценка</w:t>
            </w:r>
          </w:p>
        </w:tc>
        <w:tc>
          <w:tcPr>
            <w:tcW w:type="dxa" w:w="1709"/>
          </w:tcPr>
          <w:p>
            <w:pPr>
              <w:keepNext/>
            </w:pPr>
            <w:r>
              <w:t>Писем</w:t>
            </w:r>
          </w:p>
        </w:tc>
        <w:tc>
          <w:tcPr>
            <w:tcW w:type="dxa" w:w="1709"/>
          </w:tcPr>
          <w:p>
            <w:pPr>
              <w:keepNext/>
            </w:pPr>
            <w:r>
              <w:t>F1</w:t>
            </w:r>
          </w:p>
        </w:tc>
        <w:tc>
          <w:tcPr>
            <w:tcW w:type="dxa" w:w="1709"/>
          </w:tcPr>
          <w:p>
            <w:pPr>
              <w:keepNext/>
            </w:pPr>
            <w:r>
              <w:t>Precision</w:t>
            </w:r>
          </w:p>
        </w:tc>
        <w:tc>
          <w:tcPr>
            <w:tcW w:type="dxa" w:w="1709"/>
          </w:tcPr>
          <w:p>
            <w:pPr>
              <w:keepNext/>
            </w:pPr>
            <w:r>
              <w:t>Recall</w:t>
            </w:r>
          </w:p>
        </w:tc>
        <w:tc>
          <w:tcPr>
            <w:tcW w:type="dxa" w:w="1709"/>
          </w:tcPr>
          <w:p>
            <w:pPr>
              <w:keepNext/>
            </w:pPr>
            <w:r>
              <w:t>FP / нормальных</w:t>
            </w:r>
          </w:p>
        </w:tc>
      </w:tr>
      <w:tr>
        <w:trPr>
          <w:cantSplit/>
        </w:trPr>
        <w:tc>
          <w:tcPr>
            <w:tcW w:type="dxa" w:w="1709"/>
          </w:tcPr>
          <w:p>
            <w:pPr>
              <w:keepNext/>
            </w:pPr>
            <w:r>
              <w:t>Валидация для выбора порога</w:t>
            </w:r>
          </w:p>
        </w:tc>
        <w:tc>
          <w:tcPr>
            <w:tcW w:type="dxa" w:w="1709"/>
          </w:tcPr>
          <w:p>
            <w:pPr>
              <w:keepNext/>
            </w:pPr>
            <w:r>
              <w:t>1570</w:t>
            </w:r>
          </w:p>
        </w:tc>
        <w:tc>
          <w:tcPr>
            <w:tcW w:type="dxa" w:w="1709"/>
          </w:tcPr>
          <w:p>
            <w:pPr>
              <w:keepNext/>
            </w:pPr>
            <w:r>
              <w:t>0.98204</w:t>
            </w:r>
          </w:p>
        </w:tc>
        <w:tc>
          <w:tcPr>
            <w:tcW w:type="dxa" w:w="1709"/>
          </w:tcPr>
          <w:p>
            <w:pPr>
              <w:keepNext/>
            </w:pPr>
            <w:r>
              <w:t>0.97910</w:t>
            </w:r>
          </w:p>
        </w:tc>
        <w:tc>
          <w:tcPr>
            <w:tcW w:type="dxa" w:w="1709"/>
          </w:tcPr>
          <w:p>
            <w:pPr>
              <w:keepNext/>
            </w:pPr>
            <w:r>
              <w:t>0.98498</w:t>
            </w:r>
          </w:p>
        </w:tc>
        <w:tc>
          <w:tcPr>
            <w:tcW w:type="dxa" w:w="1709"/>
          </w:tcPr>
          <w:p>
            <w:pPr>
              <w:keepNext/>
            </w:pPr>
            <w:r>
              <w:t>7/1237 (0.57 %)</w:t>
            </w:r>
          </w:p>
        </w:tc>
      </w:tr>
      <w:tr>
        <w:trPr>
          <w:cantSplit/>
        </w:trPr>
        <w:tc>
          <w:tcPr>
            <w:tcW w:type="dxa" w:w="1709"/>
          </w:tcPr>
          <w:p>
            <w:pPr>
              <w:keepNext/>
            </w:pPr>
            <w:r>
              <w:t>Весь локальный тест</w:t>
            </w:r>
          </w:p>
        </w:tc>
        <w:tc>
          <w:tcPr>
            <w:tcW w:type="dxa" w:w="1709"/>
          </w:tcPr>
          <w:p>
            <w:pPr>
              <w:keepNext/>
            </w:pPr>
            <w:r>
              <w:t>1545</w:t>
            </w:r>
          </w:p>
        </w:tc>
        <w:tc>
          <w:tcPr>
            <w:tcW w:type="dxa" w:w="1709"/>
          </w:tcPr>
          <w:p>
            <w:pPr>
              <w:keepNext/>
            </w:pPr>
            <w:r>
              <w:t>0.93878</w:t>
            </w:r>
          </w:p>
        </w:tc>
        <w:tc>
          <w:tcPr>
            <w:tcW w:type="dxa" w:w="1709"/>
          </w:tcPr>
          <w:p>
            <w:pPr>
              <w:keepNext/>
            </w:pPr>
            <w:r>
              <w:t>0.99184</w:t>
            </w:r>
          </w:p>
        </w:tc>
        <w:tc>
          <w:tcPr>
            <w:tcW w:type="dxa" w:w="1709"/>
          </w:tcPr>
          <w:p>
            <w:pPr>
              <w:keepNext/>
            </w:pPr>
            <w:r>
              <w:t>0.89110</w:t>
            </w:r>
          </w:p>
        </w:tc>
        <w:tc>
          <w:tcPr>
            <w:tcW w:type="dxa" w:w="1709"/>
          </w:tcPr>
          <w:p>
            <w:pPr>
              <w:keepNext/>
            </w:pPr>
            <w:r>
              <w:t>7/590 (1.19 %)</w:t>
            </w:r>
          </w:p>
        </w:tc>
      </w:tr>
      <w:tr>
        <w:trPr>
          <w:cantSplit/>
        </w:trPr>
        <w:tc>
          <w:tcPr>
            <w:tcW w:type="dxa" w:w="1709"/>
          </w:tcPr>
          <w:p>
            <w:pPr>
              <w:keepNext w:val="0"/>
            </w:pPr>
            <w:r>
              <w:t>Исторически новый срез</w:t>
            </w:r>
          </w:p>
        </w:tc>
        <w:tc>
          <w:tcPr>
            <w:tcW w:type="dxa" w:w="1709"/>
          </w:tcPr>
          <w:p>
            <w:pPr>
              <w:keepNext w:val="0"/>
            </w:pPr>
            <w:r>
              <w:t>342</w:t>
            </w:r>
          </w:p>
        </w:tc>
        <w:tc>
          <w:tcPr>
            <w:tcW w:type="dxa" w:w="1709"/>
          </w:tcPr>
          <w:p>
            <w:pPr>
              <w:keepNext w:val="0"/>
            </w:pPr>
            <w:r>
              <w:t>0.84342</w:t>
            </w:r>
          </w:p>
        </w:tc>
        <w:tc>
          <w:tcPr>
            <w:tcW w:type="dxa" w:w="1709"/>
          </w:tcPr>
          <w:p>
            <w:pPr>
              <w:keepNext w:val="0"/>
            </w:pPr>
            <w:r>
              <w:t>0.97131</w:t>
            </w:r>
          </w:p>
        </w:tc>
        <w:tc>
          <w:tcPr>
            <w:tcW w:type="dxa" w:w="1709"/>
          </w:tcPr>
          <w:p>
            <w:pPr>
              <w:keepNext w:val="0"/>
            </w:pPr>
            <w:r>
              <w:t>0.74528</w:t>
            </w:r>
          </w:p>
        </w:tc>
        <w:tc>
          <w:tcPr>
            <w:tcW w:type="dxa" w:w="1709"/>
          </w:tcPr>
          <w:p>
            <w:pPr>
              <w:keepNext w:val="0"/>
            </w:pPr>
            <w:r>
              <w:t>7/24 (29.17 %)</w:t>
            </w:r>
          </w:p>
        </w:tc>
      </w:tr>
    </w:tbl>
    <w:p>
      <w:pPr>
        <w:pStyle w:val="Heading1"/>
      </w:pPr>
      <w:r>
        <w:t>Как объяснить ограничения на защите</w:t>
      </w:r>
    </w:p>
    <w:p>
      <w:r>
        <w:t>На всём тесте precision 0,99184 означает: среди отправленных в спам писем</w:t>
      </w:r>
    </w:p>
    <w:p>
      <w:r>
        <w:t>примерно 99,18 % действительно размечены как спам. Это не означает такую же</w:t>
      </w:r>
    </w:p>
    <w:p>
      <w:r>
        <w:t>accuracy и не гарантирует отсутствие потерь важных писем.</w:t>
      </w:r>
    </w:p>
    <w:p>
      <w:r>
        <w:t>На исторически новом срезе 7 из 24 нормальных писем ошибочно признаны спамом.</w:t>
      </w:r>
    </w:p>
    <w:p>
      <w:r>
        <w:t>Это указывает на проблему переноса, несмотря на высокий precision при преобладании</w:t>
      </w:r>
    </w:p>
    <w:p>
      <w:r>
        <w:t>спама (318 из 342). Письма автоматически не удаляются.</w:t>
      </w:r>
    </w:p>
    <w:p>
      <w:r>
        <w:t>Корпуса исторические и преимущественно английские. Тест уже изучался ранее;</w:t>
      </w:r>
    </w:p>
    <w:p>
      <w:r>
        <w:t>нужны свежий временной тест и проверка по языкам, источникам и типам писем.</w:t>
      </w:r>
    </w:p>
    <w:p>
      <w:r>
        <w:t>Отдельной абляции признаков ссылок пока нет, поэтому причинный прирост от них не заявляется.</w:t>
      </w:r>
    </w:p>
    <w:p>
      <w:pPr>
        <w:pStyle w:val="Heading1"/>
      </w:pPr>
      <w:r>
        <w:t>Рассказ на две минуты</w:t>
      </w:r>
    </w:p>
    <w:p>
      <w:r>
        <w:t>Я взял за основу свою работу хакатона по фишинговым URL и перенёс модуль</w:t>
      </w:r>
    </w:p>
    <w:p>
      <w:r>
        <w:t>автономных признаков ссылок в задачу антиспама. Тексты письма представлены</w:t>
      </w:r>
    </w:p>
    <w:p>
      <w:r>
        <w:t>словными и символьными TF-IDF; структура письма и ссылок — числовыми признаками.</w:t>
      </w:r>
    </w:p>
    <w:p>
      <w:r>
        <w:t>Четыре базовые модели объединены через мета-модель, обученную на OOF-прогнозах.</w:t>
      </w:r>
    </w:p>
    <w:p>
      <w:r>
        <w:t>Главная проверка — отсутствие точных тестовых текстов в обучении и единый порог</w:t>
      </w:r>
    </w:p>
    <w:p>
      <w:r>
        <w:t>во всех частях проекта. На полном тесте F1 равен 0,93878, но на сложном исторически</w:t>
      </w:r>
    </w:p>
    <w:p>
      <w:r>
        <w:t>новом срезе F1 снижается до 0,84342, а ложные срабатывания остаются проблемой.</w:t>
      </w:r>
    </w:p>
    <w:p>
      <w:r>
        <w:t>Поэтому результат предназначен для учебной демонстрации и ручной проверки.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Andrey123654/antispam-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Ражнов Андрей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