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ind w:firstLine="0"/>
        <w:jc w:val="center"/>
      </w:pPr>
      <w:r>
        <w:rPr>
          <w:b/>
          <w:i w:val="0"/>
          <w:sz w:val="26"/>
        </w:rPr>
        <w:t>ВЛИЯНИЕ РЕГУЛИРУЕМЫХ ФРИКЦИОННЫХ ТОРМОЗОВ НА КИНЕМАТИКУ ЛЕГКОГАЗОВОЙ ПУШКИ 50-ММ КАЛИБРА: СКОРОСТНАЯ ВИДЕОРЕГИСТРАЦИЯ, ИДЕНТИФИКАЦИЯ ПО 3D-МОДЕЛИ И РАСЧЁТНОЕ ОБОСНОВАНИЕ СХЕМЫ ТОРМОЖЕНИЯ</w:t>
      </w:r>
    </w:p>
    <w:p>
      <w:pPr>
        <w:spacing w:before="0" w:after="160"/>
        <w:ind w:firstLine="0"/>
        <w:jc w:val="center"/>
      </w:pPr>
      <w:r>
        <w:rPr>
          <w:b w:val="0"/>
          <w:i/>
        </w:rPr>
        <w:t>ФГУП «РФЯЦ-ВНИИЭФ», г. Саров Нижегородской обл.</w:t>
      </w:r>
    </w:p>
    <w:p>
      <w:pPr>
        <w:spacing w:before="0" w:after="80" w:line="240" w:lineRule="auto"/>
        <w:ind w:firstLine="0"/>
        <w:jc w:val="both"/>
      </w:pPr>
      <w:r>
        <w:rPr>
          <w:b/>
          <w:i w:val="0"/>
          <w:sz w:val="22"/>
        </w:rPr>
        <w:t>Аннотация.</w:t>
      </w:r>
      <w:r>
        <w:rPr>
          <w:b w:val="0"/>
          <w:i w:val="0"/>
          <w:sz w:val="22"/>
        </w:rPr>
        <w:t xml:space="preserve"> По данным скоростной видеорегистрации трёх выстрелов и 3D-модели установки (1789 деталей) исследовано влияние регулируемых фрикционных тормозов на откат и продольные колебания легкогазовой пушки 50-мм калибра. По 3D-модели определены масса подвижной части 17,91 т, центр масс, распределения массы и осевой жёсткости; построена конечно-элементная модель, независимо дающая первую продольную частоту 69,0 Гц при жёстких стыках. Измеренные 64,18 ± 0,04 Гц воспроизводятся при жёсткости фланцевых стыков 12–28 ГН/м. Показано, что асимметрия полупериодов колебаний вызвана наложением колебаний на незавершённый откат, а 23 мм в опыте 1 — перемещение к концу записи (расчётный полный откат 35–50 мм). Восстановлены эквивалентные газодинамические импульсы 12,5 и 10,5 кН·с. По формулам Альмена–Ласло определена тормозная способность штатного тормоза. Эффективное усилие торможения в опытах 2–3 (при одинаковом нагружении) составило 30–37 кН, что на два порядка меньше усилия в стыке ПС3–ФК (≈ 3,1 МН), поэтому тормоза не могут быть причиной роста раскрытия стыка. Получены коэффициенты эффективности сухого трения при наложении колебаний на откат: станции у узла первой формы эффективны для остановки отката, станции в пучностях — для гашения колебаний. Прямым моделированием с контролем энергобаланса обоснована затяжка S1 : S2 : S3 ≈ 0,48 : 0,18 : 0,32, уменьшающая откат на 6–12 % при том же гашении колебаний.</w:t>
      </w:r>
    </w:p>
    <w:p>
      <w:pPr>
        <w:spacing w:before="0" w:after="120" w:line="240" w:lineRule="auto"/>
        <w:ind w:firstLine="0"/>
        <w:jc w:val="both"/>
      </w:pPr>
      <w:r>
        <w:rPr>
          <w:b/>
          <w:i w:val="0"/>
          <w:sz w:val="22"/>
        </w:rPr>
        <w:t>Ключевые слова:</w:t>
      </w:r>
      <w:r>
        <w:rPr>
          <w:b w:val="0"/>
          <w:i w:val="0"/>
          <w:sz w:val="22"/>
        </w:rPr>
        <w:t xml:space="preserve"> легкогазовая пушка, фрикционный тормоз, тарельчатая пружина, скоростная видеорегистрация, продольные колебания, конечно-элементная модель, идентификация нагрузки, сухое трение, размещение тормозов.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Введение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При выстреле двухступенчатой легкогазовой пушки газодинамическая нагрузка прикладывается к секциям установки последовательно: давление пороховых газов действует на казённую часть и разгоняет поршень, затем торможение поршня в сжатом лёгком газе нагружает конический переход форкамеры, после чего метаемое тело разгоняется в баллистическом стволе и истекающий газ создаёт реактивную силу [1–3]. Поэтому установка длиной более 30 м не является абсолютно жёстким телом: на откат накладываются продольные колебания секций и относительные перемещения во фланцевых соединениях [4, 5, 13].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Регулируемые фрикционные тормоза ограничивают откат за счёт сухого трения о рельсовую направляющую [6–8]. Для многосекционной установки важны не только суммарная тормозная сила, но и места её приложения. При выборе размещения необходимо учитывать три обстоятельства. Во-первых, тормоза скользят по неподвижному рельсу и реагируют на абсолютную скорость точки крепления, а не на относительную скорость соседних секций. Во-вторых, жёсткость редуцированной модели, определённая по измеренному периоду, не может служить независимой проверкой: нужна модель, построенная по геометрии установки. В-третьих, при конечной длительности записи откат может быть не завершён, и максимальное зарегистрированное перемещение не совпадает с полным откатом.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Цель настоящей работы — построить прослеживаемую цепочку «3D-модель → массы и жёсткости → конечно-элементная модель → независимая проверка по эксперименту → идентификация нагрузки → механика тормоза → сравнение схем размещения», в которой каждое звено проверяется отдельно, и на этой основе обосновать схему размещения и относительные уровни затяжки тормозов.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1. Объект исследования и исходные данные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1.1. Установка и её 3D-модель.</w:t>
      </w:r>
      <w:r>
        <w:rPr>
          <w:b w:val="0"/>
          <w:i w:val="0"/>
        </w:rPr>
        <w:t xml:space="preserve"> Установка (рисунок 1, а) включает затвор, зарядную камеру (ЗК), три секции поршневой трубы (ПС1–ПС3) с межсекционными муфтами, форкамеру (ФК) и две секции баллистического ствола (БТ1, БТ2). Ствольная линия длиной 32,0 м (от затвора до надульника) опирается на десять подкатных тележек и колёсные хомуты, катящиеся по двум рельсам Р65 с фрезерованной головкой. Диаметр канала составляет 200–234 мм в зарядной камере, 125 мм в поршневой трубе и 50 мм в стволе. Материальные свойства в STEP-файле отсутствуют, поэтому массы вычислены по объёмам деталей при плотности </w:t>
      </w:r>
      <m:oMath>
        <m:r>
          <w:rPr>
            <w:rFonts w:ascii="Cambria Math" w:hAnsi="Cambria Math"/>
          </w:rPr>
          <m:t xml:space="preserve">ρ</m:t>
        </m:r>
      </m:oMath>
      <w:r>
        <w:rPr>
          <w:b w:val="0"/>
          <w:i w:val="0"/>
        </w:rPr>
        <w:t xml:space="preserve"> = 7850 кг/м³; это допущение используется во всех последующих расчётах. Раскладка узлов вдоль оси показана на рисунке 2, массы — в таблице 2.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98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9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1 – Экспериментальный объект: а — общий вид легкогазовой пушки 50-мм калибра; б — кадр скоростной съёмки с марками на фланце ПС3, форкамере и рельсовой направляющей (37 458 кадр/с, экспозиция 10 мкс)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5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d_s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2 – Вид сбоку по 3D-модели: узлы установки, фланцевые стыки и тормозные станции S1–S5 (цвета: ЗК — зелёный, ПС — фиолетовый, ФК — синий, БТ — оранжевый, муфты — бирюзовый, тормоза — красный)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В 3D-модели предусмотрено пять тормозных станций S1–S5, на каждой — пара тормозов (левый и правый). Каждый тормоз соединён осью М24 и тягой с хомутом соответствующего узла: зарядной камеры (</w:t>
      </w:r>
      <m:oMath>
        <m:r>
          <w:rPr>
            <w:rFonts w:ascii="Cambria Math" w:hAnsi="Cambria Math"/>
          </w:rPr>
          <m:t xml:space="preserve">z</m:t>
        </m:r>
      </m:oMath>
      <w:r>
        <w:rPr>
          <w:b w:val="0"/>
          <w:i w:val="0"/>
        </w:rPr>
        <w:t xml:space="preserve"> = 2,96 м), муфты ПС1–ПС2 (9,02 м), муфты ПС2–ПС3 (14,52 м), форкамеры (21,36 м) и муфты БТ1–БТ2 (27,23 м). Координата </w:t>
      </w:r>
      <m:oMath>
        <m:r>
          <w:rPr>
            <w:rFonts w:ascii="Cambria Math" w:hAnsi="Cambria Math"/>
          </w:rPr>
          <m:t xml:space="preserve">z</m:t>
        </m:r>
      </m:oMath>
      <w:r>
        <w:rPr>
          <w:b w:val="0"/>
          <w:i w:val="0"/>
        </w:rPr>
        <w:t xml:space="preserve"> отсчитывается от торца рельса, направление выстрела — положительное. Конструкция тормоза показана на рисунке 3: фрикционная пластина 203 × 50 мм прижимается к фрезерованной поверхности головки рельса тремя упругими элементами; реакция замыкается через два захвата, охватывающих головку снизу. Каждый упругий элемент содержит пакет из шести последовательно установленных тарельчатых пружин 32 × 14 × 3,0 × 0,7 по ГОСТ 3057-90 [10]; усилие задаётся гайкой на штоке. По кромкам модели уточнены размеры пружины: </w:t>
      </w:r>
      <m:oMath>
        <m:r>
          <w:rPr>
            <w:rFonts w:ascii="Cambria Math" w:hAnsi="Cambria Math"/>
          </w:rPr>
          <m:t xml:space="preserve">D</m:t>
        </m:r>
      </m:oMath>
      <w:r>
        <w:rPr>
          <w:b w:val="0"/>
          <w:i w:val="0"/>
        </w:rPr>
        <w:t xml:space="preserve"> = 32 мм, </w:t>
      </w:r>
      <m:oMath>
        <m:r>
          <w:rPr>
            <w:rFonts w:ascii="Cambria Math" w:hAnsi="Cambria Math"/>
          </w:rPr>
          <m:t xml:space="preserve">d</m:t>
        </m:r>
      </m:oMath>
      <w:r>
        <w:rPr>
          <w:b w:val="0"/>
          <w:i w:val="0"/>
        </w:rPr>
        <w:t xml:space="preserve"> = 14 мм, толщина с учётом опорных плоскостей </w:t>
      </w:r>
      <m:oMath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′</m:t>
        </m:r>
      </m:oMath>
      <w:r>
        <w:rPr>
          <w:b w:val="0"/>
          <w:i w:val="0"/>
        </w:rPr>
        <w:t xml:space="preserve"> = 2,94 мм, свободная высота </w:t>
      </w:r>
      <m:oMath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 = 3,64 мм, 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′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′</m:t>
        </m:r>
      </m:oMath>
      <w:r>
        <w:rPr>
          <w:b w:val="0"/>
          <w:i w:val="0"/>
        </w:rPr>
        <w:t xml:space="preserve"> = 0,70 мм.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52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r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5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3 – Тормозная станция S4 по 3D-модели: а — хомут форкамеры, тяга и тормоз на рельсе; б — поперечное сечение тормоза по пакету пружин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1.2. Эксперимент.</w:t>
      </w:r>
      <w:r>
        <w:rPr>
          <w:b w:val="0"/>
          <w:i w:val="0"/>
        </w:rPr>
        <w:t xml:space="preserve"> Рассмотрены три выстрела (таблица 1). В опыте 1 распределённые тормозные пары не применялись, откат компенсировался со стороны зарядной камеры; в опытах 2 и 3 штатные тормозные пары работали на узлах установки. Скоростная съёмка (37 458 кадр/с, экспозиция 10 мкс) велась 0–200 мс после импульса поджига. Регистрировались перемещение марки форкамеры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ФК</m:t>
            </m:r>
          </m:sub>
        </m:sSub>
      </m:oMath>
      <w:r>
        <w:rPr>
          <w:b w:val="0"/>
          <w:i w:val="0"/>
        </w:rPr>
        <w:t xml:space="preserve"> относительно неподвижной марки на рельсе и изменение базы между марками на фланце ПС3 и форкамере (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</w:rPr>
        <w:t xml:space="preserve"> — вдоль оси,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</m:oMath>
      <w:r>
        <w:rPr>
          <w:b w:val="0"/>
          <w:i w:val="0"/>
        </w:rPr>
        <w:t xml:space="preserve"> — поперёк), исходная база 109,44 мм [15].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1 – Условия опытов и максимальные значения, полученные по видеорегистрации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793"/>
        <w:gridCol w:w="4649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Опыт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Условия торможения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ФК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мм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мм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мм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распределённые пары не применялись; компенсация отката со стороны ЗК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0,81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0,40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штатные тормозные пары на узлах установки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1,10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0,22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штатные тормозные пары на узлах установки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1,20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1,40</w:t>
            </w:r>
          </w:p>
        </w:tc>
      </w:tr>
    </w:tbl>
    <w:p>
      <w:pPr>
        <w:spacing w:after="40" w:line="192" w:lineRule="auto"/>
      </w:pPr>
    </w:p>
    <w:p>
      <w:pPr>
        <w:spacing w:before="0" w:after="0"/>
        <w:ind w:firstLine="567"/>
        <w:jc w:val="both"/>
      </w:pPr>
      <w:r>
        <w:rPr>
          <w:b w:val="0"/>
          <w:i w:val="0"/>
        </w:rPr>
        <w:t>Временная зависимость приведена только для опыта 1 (рисунок 4); для опытов 2 и 3 известны лишь максимальные значения.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2. Обработка экспериментальной записи опыта 1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2.1. Исходные данные.</w:t>
      </w:r>
      <w:r>
        <w:rPr>
          <w:b w:val="0"/>
          <w:i w:val="0"/>
        </w:rPr>
        <w:t xml:space="preserve"> Обрабатывались зависимости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ФК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и </w:t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опыта 1 (рисунок 4), полученные при съёмке с частотой 37 458 кадр/с. Времена 18 последовательных экстремумов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ФК</m:t>
            </m:r>
          </m:sub>
        </m:sSub>
      </m:oMath>
      <w:r>
        <w:rPr>
          <w:b w:val="0"/>
          <w:i w:val="0"/>
        </w:rPr>
        <w:t xml:space="preserve"> (67,13–196,71 мс) использованы для анализа полупериодов, вся зависимость на интервале 45–198 мс — для идентификации моделей (разделы 2.2 и 4).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97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7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 xml:space="preserve">Рисунок 4 – Опыт 1: перемещение форкамеры </w:t>
      </w:r>
      <m:oMath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ФК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  <w:sz w:val="22"/>
        </w:rPr>
        <w:t xml:space="preserve"> и десятикратно увеличенное изменение базы </w:t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L</m:t>
        </m:r>
      </m:oMath>
      <w:r>
        <w:rPr>
          <w:b w:val="0"/>
          <w:i w:val="0"/>
          <w:sz w:val="22"/>
        </w:rPr>
        <w:t xml:space="preserve"> между марками ПС3–ФК; отмечены времена экстремумов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  <w:sz w:val="22"/>
        </w:rPr>
        <w:t>–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19</m:t>
            </m:r>
          </m:sub>
        </m:sSub>
      </m:oMath>
      <w:r>
        <w:rPr>
          <w:b w:val="0"/>
          <w:i w:val="0"/>
          <w:sz w:val="22"/>
        </w:rPr>
        <w:t>, отметка D1 и момент вылета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2.2. Модель «дрейф + собственная форма».</w:t>
      </w:r>
      <w:r>
        <w:rPr>
          <w:b w:val="0"/>
          <w:i w:val="0"/>
        </w:rPr>
        <w:t xml:space="preserve"> После вылета метаемого тела (</w:t>
      </w:r>
      <m:oMath>
        <m:r>
          <w:rPr>
            <w:rFonts w:ascii="Cambria Math" w:hAnsi="Cambria Math"/>
          </w:rPr>
          <m:t xml:space="preserve">t</m:t>
        </m:r>
      </m:oMath>
      <w:r>
        <w:rPr>
          <w:b w:val="0"/>
          <w:i w:val="0"/>
        </w:rPr>
        <w:t xml:space="preserve"> &gt; 72 мс) запись описывается суммой медленного дрейфа (продолжающегося отката) и затухающей гармоники: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ω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φ</m:t>
            </m:r>
          </m:e>
        </m:d>
        <m:r>
          <w:rPr>
            <w:rFonts w:ascii="Cambria Math" w:hAnsi="Cambria Math"/>
          </w:rPr>
          <m:t xml:space="preserve">,</m:t>
        </m:r>
      </m:oMath>
      <w:r>
        <w:tab/>
        <w:t>(1)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tab/>
        <w:t>(2)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ζ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α</m:t>
            </m:r>
          </m:num>
          <m:den>
            <m:r>
              <w:rPr>
                <w:rFonts w:ascii="Cambria Math" w:hAnsi="Cambria Math"/>
              </w:rPr>
              <m:t xml:space="preserve">ω</m:t>
            </m:r>
          </m:den>
        </m:f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ω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π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tab/>
        <w:t>(3)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 = 72 мс;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, </w:t>
      </w:r>
      <m:oMath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, </w:t>
      </w:r>
      <m:oMath>
        <m:r>
          <w:rPr>
            <w:rFonts w:ascii="Cambria Math" w:hAnsi="Cambria Math"/>
          </w:rPr>
          <m:t xml:space="preserve">a</m:t>
        </m:r>
      </m:oMath>
      <w:r>
        <w:rPr>
          <w:b w:val="0"/>
          <w:i w:val="0"/>
        </w:rPr>
        <w:t xml:space="preserve"> — положение, скорость и ускорение дрейфа;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, </w:t>
      </w:r>
      <m:oMath>
        <m:r>
          <w:rPr>
            <w:rFonts w:ascii="Cambria Math" w:hAnsi="Cambria Math"/>
          </w:rPr>
          <m:t xml:space="preserve">α</m:t>
        </m:r>
      </m:oMath>
      <w:r>
        <w:rPr>
          <w:b w:val="0"/>
          <w:i w:val="0"/>
        </w:rPr>
        <w:t xml:space="preserve">, </w:t>
      </w:r>
      <m:oMath>
        <m:r>
          <w:rPr>
            <w:rFonts w:ascii="Cambria Math" w:hAnsi="Cambria Math"/>
          </w:rPr>
          <m:t xml:space="preserve">ω</m:t>
        </m:r>
      </m:oMath>
      <w:r>
        <w:rPr>
          <w:b w:val="0"/>
          <w:i w:val="0"/>
        </w:rPr>
        <w:t xml:space="preserve">, </w:t>
      </w:r>
      <m:oMath>
        <m:r>
          <w:rPr>
            <w:rFonts w:ascii="Cambria Math" w:hAnsi="Cambria Math"/>
          </w:rPr>
          <m:t xml:space="preserve">φ</m:t>
        </m:r>
      </m:oMath>
      <w:r>
        <w:rPr>
          <w:b w:val="0"/>
          <w:i w:val="0"/>
        </w:rPr>
        <w:t xml:space="preserve"> — амплитуда, показатель затухания, круговая частота и фаза. Параметры найдены методом наименьших квадратов на интервале 72–198 мс (таблица 3, рисунок 5, а). В остатке выделяется низкочастотная составляющая около 18 Гц с амплитудой 0,8 мм; её учёт вторым слагаемым снижает СКО невязки с 0,33 до 0,14 мм и меняет </w:t>
      </w:r>
      <m:oMath>
        <m:r>
          <w:rPr>
            <w:rFonts w:ascii="Cambria Math" w:hAnsi="Cambria Math"/>
          </w:rPr>
          <m:t xml:space="preserve">f</m:t>
        </m:r>
      </m:oMath>
      <w:r>
        <w:rPr>
          <w:b w:val="0"/>
          <w:i w:val="0"/>
        </w:rPr>
        <w:t xml:space="preserve"> на 0,1 %, а </w:t>
      </w:r>
      <m:oMath>
        <m:r>
          <w:rPr>
            <w:rFonts w:ascii="Cambria Math" w:hAnsi="Cambria Math"/>
          </w:rPr>
          <m:t xml:space="preserve">α</m:t>
        </m:r>
      </m:oMath>
      <w:r>
        <w:rPr>
          <w:b w:val="0"/>
          <w:i w:val="0"/>
        </w:rPr>
        <w:t xml:space="preserve"> — на 5 %. Физическая природа этой составляющей по одной марке не устанавливается.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2 – Параметры колебательного процесса опыта 1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4195"/>
        <w:gridCol w:w="2721"/>
        <w:gridCol w:w="2721"/>
      </w:tblGrid>
      <w:tr>
        <w:trPr>
          <w:cantSplit/>
          <w:tblHeader/>
        </w:trPr>
        <w:tc>
          <w:tcPr>
            <w:tcW w:type="dxa" w:w="4195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Параметр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Модель (1)–(2)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Двухкомпонентная модель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Частота </w:t>
            </w:r>
            <m:oMath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b w:val="0"/>
                <w:i w:val="0"/>
                <w:sz w:val="19"/>
              </w:rPr>
              <w:t>, Гц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64,18 ± 0,04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64,24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Период </w:t>
            </w:r>
            <m:oMath>
              <m:r>
                <w:rPr>
                  <w:rFonts w:ascii="Cambria Math" w:hAnsi="Cambria Math"/>
                </w:rPr>
                <m:t xml:space="preserve">T</m:t>
              </m:r>
            </m:oMath>
            <w:r>
              <w:rPr>
                <w:b w:val="0"/>
                <w:i w:val="0"/>
                <w:sz w:val="19"/>
              </w:rPr>
              <w:t>, мс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15,58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15,57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Показатель затухания </w:t>
            </w:r>
            <m:oMath>
              <m:r>
                <w:rPr>
                  <w:rFonts w:ascii="Cambria Math" w:hAnsi="Cambria Math"/>
                </w:rPr>
                <m:t xml:space="preserve">α</m:t>
              </m:r>
            </m:oMath>
            <w:r>
              <w:rPr>
                <w:b w:val="0"/>
                <w:i w:val="0"/>
                <w:sz w:val="19"/>
              </w:rPr>
              <w:t>, с⁻¹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5,98 ± 0,24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6,29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Коэффициент демпфирования </w:t>
            </w:r>
            <m:oMath>
              <m:r>
                <w:rPr>
                  <w:rFonts w:ascii="Cambria Math" w:hAnsi="Cambria Math"/>
                </w:rPr>
                <m:t xml:space="preserve">ζ</m:t>
              </m:r>
            </m:oMath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0,0148 ± 0,0006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0,0156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Скорость дрейфа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при 72 мс, м/с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−0,102 ± 0,001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−0,115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Замедление дрейфа </w:t>
            </w:r>
            <m:oMath>
              <m:r>
                <w:rPr>
                  <w:rFonts w:ascii="Cambria Math" w:hAnsi="Cambria Math"/>
                </w:rPr>
                <m:t xml:space="preserve">a</m:t>
              </m:r>
            </m:oMath>
            <w:r>
              <w:rPr>
                <w:b w:val="0"/>
                <w:i w:val="0"/>
                <w:sz w:val="19"/>
              </w:rPr>
              <w:t>, м/с²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0,13 ± 0,02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0,33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Амплитуда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>, мм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2,21 ± 0,03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2,25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СКО невязки, мм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0,33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0,14</w:t>
            </w:r>
          </w:p>
        </w:tc>
      </w:tr>
    </w:tbl>
    <w:p>
      <w:pPr>
        <w:spacing w:after="40" w:line="192" w:lineRule="auto"/>
      </w:pP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Средний период по экстремумам равен 15,48 мс (64,6 Гц) и в пределах разброса отдельных периодов (СКО 0,77 мс) согласуется с модельным значением 15,58 мс. Оценка затухания по полуразмахам соседних экстремумов даёт </w:t>
      </w:r>
      <m:oMath>
        <m:r>
          <w:rPr>
            <w:rFonts w:ascii="Cambria Math" w:hAnsi="Cambria Math"/>
          </w:rPr>
          <m:t xml:space="preserve">α</m:t>
        </m:r>
      </m:oMath>
      <w:r>
        <w:rPr>
          <w:b w:val="0"/>
          <w:i w:val="0"/>
        </w:rPr>
        <w:t xml:space="preserve"> ≈ 6,9 с⁻¹, т.е. на 10–15 % больше: при наличии дрейфа полуразмахи смещены, поэтому далее используется оценка по модели (1)–(2).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2.3. Природа асимметрии полупериодов.</w:t>
      </w:r>
      <w:r>
        <w:rPr>
          <w:b w:val="0"/>
          <w:i w:val="0"/>
        </w:rPr>
        <w:t xml:space="preserve"> Средние длительности полупериодов спада и роста различаются: 8,57 и 6,92 мс. Такое различие можно принять за признак несимметричности восстанавливающей силы, однако оно следует из самой кинематики. Для </w:t>
      </w:r>
      <m:oMath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A</m:t>
        </m:r>
        <m:r>
          <m:rPr>
            <m:sty m:val="p"/>
          </m:rP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t</m:t>
        </m:r>
      </m:oMath>
      <w:r>
        <w:rPr>
          <w:b w:val="0"/>
          <w:i w:val="0"/>
        </w:rPr>
        <w:t xml:space="preserve"> условие экстремума даёт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acc>
          <m:accPr>
            <m:chr m:val="̇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m:rPr>
            <m:sty m:val="p"/>
          </m:rPr>
          <w:rPr>
            <w:rFonts w:ascii="Cambria Math" w:hAnsi="Cambria Math"/>
          </w:rPr>
          <m:t xml:space="preserve"> </m:t>
        </m:r>
        <m:r>
          <w:rPr>
            <w:rFonts w:ascii="Cambria Math" w:hAnsi="Cambria Math"/>
          </w:rPr>
          <m:t xml:space="preserve">⇒</m:t>
        </m:r>
        <m:r>
          <m:rPr>
            <m:sty m:val="p"/>
          </m:rPr>
          <w:rPr>
            <w:rFonts w:ascii="Cambria Math" w:hAnsi="Cambria Math"/>
          </w:rPr>
          <m:t xml:space="preserve"> </m:t>
        </m:r>
        <m:r>
          <m:rPr>
            <m:sty m:val="p"/>
          </m:rP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ω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tab/>
        <w:t>(4)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т.е. минимумы смещаются на </w:t>
      </w:r>
      <m:oMath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ω</m:t>
        </m:r>
      </m:oMath>
      <w:r>
        <w:rPr>
          <w:b w:val="0"/>
          <w:i w:val="0"/>
        </w:rPr>
        <w:t xml:space="preserve"> позже, а максимумы — на </w:t>
      </w:r>
      <m:oMath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ω</m:t>
        </m:r>
      </m:oMath>
      <w:r>
        <w:rPr>
          <w:b w:val="0"/>
          <w:i w:val="0"/>
        </w:rPr>
        <w:t xml:space="preserve"> раньше положений </w:t>
      </w:r>
      <m:oMath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</m:oMath>
      <w:r>
        <w:rPr>
          <w:b w:val="0"/>
          <w:i w:val="0"/>
        </w:rPr>
        <w:t xml:space="preserve"> и </w:t>
      </w:r>
      <m:oMath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</m:oMath>
      <w:r>
        <w:rPr>
          <w:b w:val="0"/>
          <w:i w:val="0"/>
        </w:rPr>
        <w:t>. Отсюда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сп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р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β</m:t>
            </m:r>
          </m:num>
          <m:den>
            <m:r>
              <w:rPr>
                <w:rFonts w:ascii="Cambria Math" w:hAnsi="Cambria Math"/>
              </w:rPr>
              <m:t xml:space="preserve">ω</m:t>
            </m:r>
          </m:den>
        </m:f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arcsin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ω</m:t>
            </m:r>
          </m:den>
        </m:f>
        <m:r>
          <w:rPr>
            <w:rFonts w:ascii="Cambria Math" w:hAnsi="Cambria Math"/>
          </w:rPr>
          <m:t xml:space="preserve">.</m:t>
        </m:r>
      </m:oMath>
      <w:r>
        <w:tab/>
        <w:t>(5)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При средних за окно </w:t>
      </w:r>
      <m:oMath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>
          <w:b w:val="0"/>
          <w:i w:val="0"/>
        </w:rPr>
        <w:t xml:space="preserve"> = 0,094 м/с, </w:t>
      </w:r>
      <m:oMath>
        <m:r>
          <w:rPr>
            <w:rFonts w:ascii="Cambria Math" w:hAnsi="Cambria Math"/>
          </w:rPr>
          <m:t xml:space="preserve">A</m:t>
        </m:r>
      </m:oMath>
      <w:r>
        <w:rPr>
          <w:b w:val="0"/>
          <w:i w:val="0"/>
        </w:rPr>
        <w:t xml:space="preserve"> = 1,54 мм и </w:t>
      </w:r>
      <m:oMath>
        <m:r>
          <w:rPr>
            <w:rFonts w:ascii="Cambria Math" w:hAnsi="Cambria Math"/>
          </w:rPr>
          <m:t xml:space="preserve">ω</m:t>
        </m:r>
      </m:oMath>
      <w:r>
        <w:rPr>
          <w:b w:val="0"/>
          <w:i w:val="0"/>
        </w:rPr>
        <w:t xml:space="preserve"> = 403,3 рад/с получаем </w:t>
      </w:r>
      <m:oMath>
        <m:r>
          <w:rPr>
            <w:rFonts w:ascii="Cambria Math" w:hAnsi="Cambria Math"/>
          </w:rPr>
          <m:t xml:space="preserve">β</m:t>
        </m:r>
      </m:oMath>
      <w:r>
        <w:rPr>
          <w:b w:val="0"/>
          <w:i w:val="0"/>
        </w:rPr>
        <w:t xml:space="preserve"> = 0,152 рад и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сп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р</m:t>
            </m:r>
          </m:sub>
        </m:sSub>
      </m:oMath>
      <w:r>
        <w:rPr>
          <w:b w:val="0"/>
          <w:i w:val="0"/>
        </w:rPr>
        <w:t xml:space="preserve"> = 1,50 мс. Измеренная разность составляет 1,65 мс (рисунок 5, б). Следовательно, асимметрия примерно на 90 % объясняется дрейфом и не свидетельствует о нелинейности восстанавливающей силы.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p_p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5 – Обработка опыта 1: а — эксперимент, модель (1)–(2) и дрейф; б — длительности полупериодов и прогноз по формуле (5)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2.4. Незавершённость отката.</w:t>
      </w:r>
      <w:r>
        <w:rPr>
          <w:b w:val="0"/>
          <w:i w:val="0"/>
        </w:rPr>
        <w:t xml:space="preserve"> Скорость дрейфа к концу записи ещё составляет 0,085 м/с (рисунок 5, а). Значит, 23 мм — это перемещение к моменту 200 мс, а не полный откат. Оценка по модели раздела 4 даёт полный откат 40 мм (35–50 мм в пределах погрешности сопротивления опор) с остановкой через 0,50–0,68 с. Для сопоставления опытов корректнее использовать перемещение в фиксированный момент и скорость дрейфа.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2.5. Сигнал стыка.</w:t>
      </w:r>
      <w:r>
        <w:rPr>
          <w:b w:val="0"/>
          <w:i w:val="0"/>
        </w:rPr>
        <w:t xml:space="preserve"> Размах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</w:rPr>
        <w:t xml:space="preserve"> = 0,81 мм (таблица 1) складывается из трёх разнородных составляющих: колебательной, синфазной с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ФК</m:t>
            </m:r>
          </m:sub>
        </m:sSub>
      </m:oMath>
      <w:r>
        <w:rPr>
          <w:b w:val="0"/>
          <w:i w:val="0"/>
        </w:rPr>
        <w:t xml:space="preserve"> (коэффициент корреляции 0,83, коэффициент передачи </w:t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осц</m:t>
            </m:r>
          </m:sub>
        </m:sSub>
      </m:oMath>
      <w:r>
        <w:rPr>
          <w:b w:val="0"/>
          <w:i w:val="0"/>
        </w:rPr>
        <w:t xml:space="preserve"> = 0,056) и дающей около 0,25 мм размаха; остаточного смещения около +0,1 мм после выстрела; одиночного события сжатия около −0,4 мм при 105–118 мс. Поэтому величина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</w:rPr>
        <w:t xml:space="preserve"> объединяет упругий отклик и нерегулярные (вероятно, контактные) явления, и её изменение между опытами без разложения на составляющие интерпретировать нельзя.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3. Массово-жёсткостная модель по 3D-модели и модальный анализ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3.1. Массы.</w:t>
      </w:r>
      <w:r>
        <w:rPr>
          <w:b w:val="0"/>
          <w:i w:val="0"/>
        </w:rPr>
        <w:t xml:space="preserve"> Масса подвижной части и координата центра масс вычислены суммированием по деталям: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ρ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nary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M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r>
              <w:rPr>
                <w:rFonts w:ascii="Cambria Math" w:hAnsi="Cambria Math"/>
              </w:rPr>
              <m:t xml:space="preserve">ρ</m:t>
            </m:r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nary>
        <m:r>
          <w:rPr>
            <w:rFonts w:ascii="Cambria Math" w:hAnsi="Cambria Math"/>
          </w:rPr>
          <m:t xml:space="preserve">.</m:t>
        </m:r>
      </m:oMath>
      <w:r>
        <w:tab/>
        <w:t>(6)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Получено </w:t>
      </w:r>
      <m:oMath>
        <m:r>
          <w:rPr>
            <w:rFonts w:ascii="Cambria Math" w:hAnsi="Cambria Math"/>
          </w:rPr>
          <m:t xml:space="preserve">M</m:t>
        </m:r>
      </m:oMath>
      <w:r>
        <w:rPr>
          <w:b w:val="0"/>
          <w:i w:val="0"/>
        </w:rPr>
        <w:t xml:space="preserve"> = 17 911 кг, </w:t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b w:val="0"/>
          <w:i w:val="0"/>
        </w:rPr>
        <w:t xml:space="preserve"> = 14,51 м; центр масс расположен на 150 мм выше головки рельса. При разделении по стыку ПС3–ФК (</w:t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b w:val="0"/>
          <w:i w:val="0"/>
        </w:rPr>
        <w:t xml:space="preserve"> = 19,604 м) массы задней и передней групп равны </w:t>
      </w:r>
      <m:oMath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</w:rPr>
        <w:t xml:space="preserve"> = 10 887 кг и </w:t>
      </w:r>
      <m:oMath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b w:val="0"/>
          <w:i w:val="0"/>
        </w:rPr>
        <w:t xml:space="preserve"> = 7 025 кг; эти значения используются во всех последующих расчётах.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3 – Массы узлов по 3D-модели (</w:t>
      </w:r>
      <m:oMath>
        <m:r>
          <w:rPr>
            <w:rFonts w:ascii="Cambria Math" w:hAnsi="Cambria Math"/>
          </w:rPr>
          <m:t xml:space="preserve">ρ</m:t>
        </m:r>
      </m:oMath>
      <w:r>
        <w:rPr>
          <w:b w:val="0"/>
          <w:i w:val="0"/>
          <w:sz w:val="22"/>
        </w:rPr>
        <w:t xml:space="preserve"> = 7850 кг/м³)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2608"/>
        <w:gridCol w:w="1077"/>
        <w:gridCol w:w="850"/>
        <w:gridCol w:w="2835"/>
        <w:gridCol w:w="1077"/>
        <w:gridCol w:w="850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Узел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Масса, кг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м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Узел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Масса, кг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Затвор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146,3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1,06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Баллистическая труба БТ1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2197,1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24,09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Зарядная камера в сборе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2922,5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2,35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Баллистическая труба БТ2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522,1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29,92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Поршневая труба ПС1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1886,4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6,04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Муфта БТ1–БТ2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315,2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27,13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Поршневая труба ПС2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2147,6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11,63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Подкатные тележки (10 шт.)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735,7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17,70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Поршневая труба ПС3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1901,3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17,23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Фрикционные тормоза (10 шт.)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98,2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15,44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Муфты ПС1–ПС2, ПС2–ПС3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1389,7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11,63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Люнеты (2 шт.)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49,9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31,32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Форкамера в сборе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3492,0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20,76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Прочие детали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107,6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17,03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i w:val="0"/>
                <w:sz w:val="19"/>
              </w:rPr>
              <w:t>Задняя группа</w:t>
            </w:r>
            <w:r>
              <w:rPr>
                <w:b w:val="0"/>
                <w:i w:val="0"/>
                <w:sz w:val="19"/>
              </w:rPr>
              <w:t xml:space="preserve">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&lt;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10 886,8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Итого</w:t>
            </w:r>
            <w:r>
              <w:rPr>
                <w:b w:val="0"/>
                <w:i w:val="0"/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M</m:t>
              </m:r>
            </m:oMath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17 911,5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14,51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i w:val="0"/>
                <w:sz w:val="19"/>
              </w:rPr>
              <w:t>Передняя группа</w:t>
            </w:r>
            <w:r>
              <w:rPr>
                <w:b w:val="0"/>
                <w:i w:val="0"/>
                <w:sz w:val="19"/>
              </w:rPr>
              <w:t xml:space="preserve">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7024,7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 xml:space="preserve">Приведённая масса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пр</m:t>
                  </m:r>
                </m:sub>
              </m:sSub>
            </m:oMath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4269,7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 w:line="192" w:lineRule="auto"/>
      </w:pPr>
    </w:p>
    <w:p>
      <w:pPr>
        <w:spacing w:before="0" w:after="0"/>
        <w:ind w:firstLine="567"/>
        <w:jc w:val="both"/>
      </w:pPr>
      <w:r>
        <w:rPr>
          <w:b/>
          <w:i w:val="0"/>
        </w:rPr>
        <w:t>3.2. Сечения и конечно-элементная модель.</w:t>
      </w:r>
      <w:r>
        <w:rPr>
          <w:b w:val="0"/>
          <w:i w:val="0"/>
        </w:rPr>
        <w:t xml:space="preserve"> Площади несущих сечений </w:t>
      </w:r>
      <m:oMath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найдены пересечением твердотельных деталей, соосных оси, плоскостями </w:t>
      </w:r>
      <m:oMath>
        <m:r>
          <w:rPr>
            <w:rFonts w:ascii="Cambria Math" w:hAnsi="Cambria Math"/>
          </w:rPr>
          <m:t xml:space="preserve">z</m:t>
        </m:r>
      </m:oMath>
      <w:r>
        <w:rPr>
          <w:b w:val="0"/>
          <w:i w:val="0"/>
        </w:rPr>
        <w:t xml:space="preserve"> = const с шагом 20 мм (ядро OpenCASCADE). Погонная масса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′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получена распределением масс всех 1789 деталей по их осевой протяжённости (рисунок 6, а, б). Установка представлена стержнем из двухузловых элементов длиной </w:t>
      </w:r>
      <m:oMath>
        <m:sSub>
          <m:e>
            <m:r>
              <w:rPr>
                <w:rFonts w:ascii="Cambria Math" w:hAnsi="Cambria Math"/>
              </w:rPr>
              <m:t xml:space="preserve">ℓ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</m:sSub>
      </m:oMath>
      <w:r>
        <w:rPr>
          <w:b w:val="0"/>
          <w:i w:val="0"/>
        </w:rPr>
        <w:t xml:space="preserve"> [12]. Матрица жёсткости элемента и податливость фланцевого стыка, если он попадает в элемент, имеют вид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e</m:t>
            </m:r>
          </m:sub>
        </m:sSub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ℓ</m:t>
                </m:r>
              </m:e>
              <m:sub>
                <m:r>
                  <w:rPr>
                    <w:rFonts w:ascii="Cambria Math" w:hAnsi="Cambria Math"/>
                  </w:rPr>
                  <m:t xml:space="preserve">e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E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e</m:t>
                </m:r>
              </m:sub>
            </m:sSub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den>
        </m:f>
        <m:r>
          <w:rPr>
            <w:rFonts w:ascii="Cambria Math" w:hAnsi="Cambria Math"/>
          </w:rPr>
          <m:t xml:space="preserve">,</m:t>
        </m:r>
      </m:oMath>
      <w:r>
        <w:tab/>
        <w:t>(7)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r>
          <w:rPr>
            <w:rFonts w:ascii="Cambria Math" w:hAnsi="Cambria Math"/>
          </w:rPr>
          <m:t xml:space="preserve">E</m:t>
        </m:r>
      </m:oMath>
      <w:r>
        <w:rPr>
          <w:b w:val="0"/>
          <w:i w:val="0"/>
        </w:rPr>
        <w:t xml:space="preserve"> = 206 ГПа,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b w:val="0"/>
          <w:i w:val="0"/>
        </w:rPr>
        <w:t xml:space="preserve"> — жёсткость стыка. Собственные частоты и формы свободного стержня находятся из задачи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d>
          <m:dPr>
            <m:begChr m:val="("/>
            <m:endChr m:val=")"/>
          </m:dPr>
          <m:e>
            <m:r>
              <m:rPr>
                <m:sty m:val="b"/>
              </m:rP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ω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 xml:space="preserve">M</m:t>
            </m:r>
          </m:e>
        </m:d>
        <m:r>
          <m:rPr>
            <m:sty m:val="b"/>
          </m:rP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.</m:t>
        </m:r>
      </m:oMath>
      <w:r>
        <w:tab/>
        <w:t>(8)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3.3. Независимая проверка частоты.</w:t>
      </w:r>
      <w:r>
        <w:rPr>
          <w:b w:val="0"/>
          <w:i w:val="0"/>
        </w:rPr>
        <w:t xml:space="preserve"> При жёстких стыках модель даёт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</w:rPr>
        <w:t xml:space="preserve"> = 68,99 Гц,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b w:val="0"/>
          <w:i w:val="0"/>
        </w:rPr>
        <w:t xml:space="preserve"> = 142,65 Гц,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>
          <w:b w:val="0"/>
          <w:i w:val="0"/>
        </w:rPr>
        <w:t xml:space="preserve"> = 171,57 Гц. Узел первой формы расположен при </w:t>
      </w:r>
      <m:oMath>
        <m:r>
          <w:rPr>
            <w:rFonts w:ascii="Cambria Math" w:hAnsi="Cambria Math"/>
          </w:rPr>
          <m:t xml:space="preserve">z</m:t>
        </m:r>
      </m:oMath>
      <w:r>
        <w:rPr>
          <w:b w:val="0"/>
          <w:i w:val="0"/>
        </w:rPr>
        <w:t xml:space="preserve"> = 14,38 м, т.е. у центра масс и муфты ПС2–ПС3 (рисунок 6, в). Первая частота превышает измеренную на 7,5 %. Это ожидаемо: жёсткие стыки дают верхнюю оценку. Следовательно, наблюдаемые колебания с частотой 64,2 Гц являются первой продольной упругой формой всей установки, а не локальной формой одного соединения. Жёсткость стыков калибровалась по двум независимым условиям: частоте 64,18 Гц и коэффициенту передачи на базе марок </w:t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ФК</m:t>
            </m:r>
          </m:sub>
        </m:sSub>
      </m:oMath>
      <w:r>
        <w:rPr>
          <w:b w:val="0"/>
          <w:i w:val="0"/>
        </w:rPr>
        <w:t xml:space="preserve"> = 0,056–0,070 (таблица 4). При жёстких стыках этот коэффициент равен всего 0,0088: измеренное перемещение на базе марок в 6–8 раз больше, чем дала бы сплошная конструкция, т.е. деформация на этой базе сосредоточена в соединении ПС3–ФК. Жёсткость одного стыка 12–28 ГН/м эквивалентна податливости 0,3–0,7 м поршневой трубы (</w:t>
      </w:r>
      <m:oMath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A</m:t>
        </m:r>
      </m:oMath>
      <w:r>
        <w:rPr>
          <w:b w:val="0"/>
          <w:i w:val="0"/>
        </w:rPr>
        <w:t xml:space="preserve"> ≈ 8 ГН).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4 – Модальный анализ и калибровка жёсткости стыков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3515"/>
        <w:gridCol w:w="1134"/>
        <w:gridCol w:w="1134"/>
        <w:gridCol w:w="1134"/>
        <w:gridCol w:w="1360"/>
        <w:gridCol w:w="1360"/>
      </w:tblGrid>
      <w:tr>
        <w:trPr>
          <w:cantSplit/>
          <w:tblHeader/>
        </w:trPr>
        <w:tc>
          <w:tcPr>
            <w:tcW w:type="dxa" w:w="3515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Вариант модели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Гц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Гц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oMath>
            <w:r>
              <w:rPr>
                <w:b/>
                <w:i w:val="0"/>
                <w:sz w:val="19"/>
              </w:rPr>
              <w:t>, Гц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Узел формы 1, м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/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ФК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Жёсткие стыки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68,99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142,65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171,57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14,38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0,0088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Все стыки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= 13,7 ГН/м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133,3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0,105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>(ПС3–ФК) = 27,7 ГН/м, прочие 11,7 ГН/м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132,9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163,1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14,32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0,056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>(ПС3–ФК) = 21,4 ГН/м, прочие 12,2 ГН/м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64,18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0,070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Эксперимент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64,18 ± 0,04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0,056–0,070</w:t>
            </w:r>
          </w:p>
        </w:tc>
      </w:tr>
    </w:tbl>
    <w:p>
      <w:pPr>
        <w:spacing w:after="40" w:line="192" w:lineRule="auto"/>
      </w:pP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32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2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6 – Модель по 3D-модели: а — погонная масса; б — осевая жёсткость с учётом стыков; в — первые две продольные формы (штриховые линии — фланцевые стыки, точки — тормозные станции)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Эквивалентная жёсткость двухмассовой модели равна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пр</m:t>
            </m:r>
          </m:sub>
        </m:sSub>
        <m:sSup>
          <m:e>
            <m:r>
              <w:rPr>
                <w:rFonts w:ascii="Cambria Math" w:hAnsi="Cambria Math"/>
              </w:rPr>
              <m:t xml:space="preserve">ω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пр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</w:rPr>
          <m:t xml:space="preserve">,</m:t>
        </m:r>
      </m:oMath>
      <w:r>
        <w:tab/>
        <w:t>(9)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что даёт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b w:val="0"/>
          <w:i w:val="0"/>
        </w:rPr>
        <w:t xml:space="preserve"> = 694 МН/м при </w:t>
      </w:r>
      <m:oMath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пр</m:t>
            </m:r>
          </m:sub>
        </m:sSub>
      </m:oMath>
      <w:r>
        <w:rPr>
          <w:b w:val="0"/>
          <w:i w:val="0"/>
        </w:rPr>
        <w:t xml:space="preserve"> = 4270 кг. Однако по формам рисунка 6, в относительное движение распределено по длине поршневых труб, и марки на стыке фиксируют лишь 5,6–7 % перемещения форкамеры. Поэтому модель «две массы и пружина в стыке» пригодна только для оценки частоты, но не для анализа раскрытия стыка.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Модальные амплитуды в точках крепления тормозов, нормированные на максимум, равны 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</m:d>
      </m:oMath>
      <w:r>
        <w:rPr>
          <w:b w:val="0"/>
          <w:i w:val="0"/>
        </w:rPr>
        <w:t xml:space="preserve"> = 0,99; 0,47; 0,05; 0,63; 0,84 для S1–S5. Станция S3 находится практически в узле первой формы, S1 и S5 — вблизи пучностей.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4. Идентификация эквивалентной газодинамической нагрузки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Движение установки описывается уравнением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m:rPr>
            <m:sty m:val="b"/>
          </m:rPr>
          <w:rPr>
            <w:rFonts w:ascii="Cambria Math" w:hAnsi="Cambria Math"/>
          </w:rPr>
          <m:t xml:space="preserve">M</m:t>
        </m:r>
        <m:acc>
          <m:accPr>
            <m:chr m:val="̈"/>
          </m:accPr>
          <m:e>
            <m:r>
              <m:rPr>
                <m:sty m:val="b"/>
              </m:rPr>
              <w:rPr>
                <w:rFonts w:ascii="Cambria Math" w:hAnsi="Cambria Math"/>
              </w:rPr>
              <m:t xml:space="preserve">u</m:t>
            </m:r>
          </m:e>
        </m:acc>
        <m:r>
          <w:rPr>
            <w:rFonts w:ascii="Cambria Math" w:hAnsi="Cambria Math"/>
          </w:rPr>
          <m:t xml:space="preserve">+</m:t>
        </m:r>
        <m:r>
          <m:rPr>
            <m:sty m:val="b"/>
          </m:rPr>
          <w:rPr>
            <w:rFonts w:ascii="Cambria Math" w:hAnsi="Cambria Math"/>
          </w:rPr>
          <m:t xml:space="preserve">C</m:t>
        </m:r>
        <m:acc>
          <m:accPr>
            <m:chr m:val="̇"/>
          </m:accPr>
          <m:e>
            <m:r>
              <m:rPr>
                <m:sty m:val="b"/>
              </m:rPr>
              <w:rPr>
                <w:rFonts w:ascii="Cambria Math" w:hAnsi="Cambria Math"/>
              </w:rPr>
              <m:t xml:space="preserve">u</m:t>
            </m:r>
          </m:e>
        </m:acc>
        <m:r>
          <w:rPr>
            <w:rFonts w:ascii="Cambria Math" w:hAnsi="Cambria Math"/>
          </w:rPr>
          <m:t xml:space="preserve">+</m:t>
        </m:r>
        <m:r>
          <m:rPr>
            <m:sty m:val="b"/>
          </m:rPr>
          <w:rPr>
            <w:rFonts w:ascii="Cambria Math" w:hAnsi="Cambria Math"/>
          </w:rPr>
          <m:t xml:space="preserve">K</m:t>
        </m:r>
        <m:r>
          <m:rPr>
            <m:sty m:val="b"/>
          </m:rP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sty m:val="p"/>
          </m:rPr>
          <w:rPr>
            <w:rFonts w:ascii="Cambria Math" w:hAnsi="Cambria Math"/>
          </w:rPr>
          <m:t xml:space="preserve"> </m:t>
        </m:r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sty m:val="p"/>
          </m:rPr>
          <w:rPr>
            <w:rFonts w:ascii="Cambria Math" w:hAnsi="Cambria Math"/>
          </w:rPr>
          <m:t xml:space="preserve"> </m:t>
        </m:r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(</m:t>
        </m:r>
        <m:acc>
          <m:accPr>
            <m:chr m:val="̇"/>
          </m:accPr>
          <m:e>
            <m:r>
              <m:rPr>
                <m:sty m:val="b"/>
              </m:rPr>
              <w:rPr>
                <w:rFonts w:ascii="Cambria Math" w:hAnsi="Cambria Math"/>
              </w:rPr>
              <m:t xml:space="preserve">u</m:t>
            </m:r>
          </m:e>
        </m:acc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+</m:t>
        </m:r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,</m:t>
        </m:r>
      </m:oMath>
      <w:r>
        <w:tab/>
        <w:t>(10)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>
          <w:b w:val="0"/>
          <w:i w:val="0"/>
        </w:rPr>
        <w:t xml:space="preserve">, </w:t>
      </w:r>
      <m:oMath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</m:oMath>
      <w:r>
        <w:rPr>
          <w:b w:val="0"/>
          <w:i w:val="0"/>
        </w:rPr>
        <w:t xml:space="preserve"> — единичные векторы узлов казённой части (</w:t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>
          <w:b w:val="0"/>
          <w:i w:val="0"/>
        </w:rPr>
        <w:t xml:space="preserve"> = 1,28 м) и конического перехода форкамеры (</w:t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</m:oMath>
      <w:r>
        <w:rPr>
          <w:b w:val="0"/>
          <w:i w:val="0"/>
        </w:rPr>
        <w:t xml:space="preserve"> = 21,3 м); </w:t>
      </w:r>
      <m:oMath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b w:val="0"/>
          <w:i w:val="0"/>
        </w:rPr>
        <w:t xml:space="preserve"> — сопротивление опор, распределённое пропорционально массе и подчиняющееся закону Кулона; </w:t>
      </w:r>
      <m:oMath>
        <m:sSub>
          <m:e>
            <m:r>
              <m:rPr>
                <m:sty m:val="b"/>
              </m:rP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0"/>
          <w:i w:val="0"/>
        </w:rPr>
        <w:t xml:space="preserve"> — силы тормозов (раздел 7). Демпфирование задано модально: </w:t>
      </w:r>
      <m:oMath>
        <m:sSub>
          <m:e>
            <m:r>
              <w:rPr>
                <w:rFonts w:ascii="Cambria Math" w:hAnsi="Cambria Math"/>
              </w:rPr>
              <m:t xml:space="preserve">ζ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ζ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</w:rPr>
        <w:t xml:space="preserve">, </w:t>
      </w:r>
      <m:oMath>
        <m:sSub>
          <m:e>
            <m:r>
              <w:rPr>
                <w:rFonts w:ascii="Cambria Math" w:hAnsi="Cambria Math"/>
              </w:rPr>
              <m:t xml:space="preserve">ζ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</w:rPr>
        <w:t xml:space="preserve"> = 0,0148. Нагрузки аппроксимированы гладкими импульсами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/>
              </w:rPr>
              <m:t xml:space="preserve">sin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f>
          <m:num>
            <m:r>
              <w:rPr>
                <w:rFonts w:ascii="Cambria Math" w:hAnsi="Cambria Math"/>
              </w:rPr>
              <m:t xml:space="preserve">π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den>
        </m:f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.</m:t>
        </m:r>
      </m:oMath>
      <w:r>
        <w:tab/>
        <w:t>(11)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Вектор параметров </w:t>
      </w:r>
      <m:oMath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находится из условия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p>
          <m:e>
            <m:r>
              <w:rPr>
                <w:rFonts w:ascii="Cambria Math" w:hAnsi="Cambria Math"/>
              </w:rPr>
              <m:t xml:space="preserve">θ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arg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 xml:space="preserve">min</m:t>
            </m:r>
          </m:e>
          <m:sub>
            <m:r>
              <w:rPr>
                <w:rFonts w:ascii="Cambria Math" w:hAnsi="Cambria Math"/>
              </w:rPr>
              <m:t xml:space="preserve">θ</m:t>
            </m:r>
          </m:sub>
        </m:sSub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</w:rPr>
              <m:t xml:space="preserve">i</m:t>
            </m:r>
          </m:sub>
          <m:sup/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мод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θ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эксп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)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nary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45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198</m:t>
        </m:r>
        <m:r>
          <m:rPr>
            <m:sty m:val="p"/>
          </m:rPr>
          <w:rPr>
            <w:rFonts w:ascii="Cambria Math" w:hAnsi="Cambria Math"/>
          </w:rPr>
          <m:t xml:space="preserve"> </m:t>
        </m:r>
        <m:r>
          <m:rPr>
            <m:sty m:val="p"/>
          </m:rPr>
          <w:rPr>
            <w:rFonts w:ascii="Cambria Math" w:hAnsi="Cambria Math"/>
          </w:rPr>
          <m:t xml:space="preserve">мс</m:t>
        </m:r>
        <m:r>
          <w:rPr>
            <w:rFonts w:ascii="Cambria Math" w:hAnsi="Cambria Math"/>
          </w:rPr>
          <m:t xml:space="preserve">.</m:t>
        </m:r>
      </m:oMath>
      <w:r>
        <w:tab/>
        <w:t>(12)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Результаты приведены в таблице 5 и на рисунке 7.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67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d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 xml:space="preserve">Рисунок 7 – Идентификация нагрузки: а — перемещение форкамеры (эксперимент и модель) и центра масс; б — восстановленные импульсы </w:t>
      </w:r>
      <m:oMath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  <w:sz w:val="22"/>
        </w:rPr>
        <w:t xml:space="preserve"> и </w:t>
      </w:r>
      <m:oMath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  <w:sz w:val="22"/>
        </w:rPr>
        <w:t>; в — скорость центра масс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5 – Идентифицированные параметры эквивалентной нагрузки (опыт 1)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cantSplit/>
          <w:tblHeader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Параметр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9"/>
              </w:rPr>
              <w:t>Независимый контроль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Амплитуда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(казённая часть)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2,30 ± 0,24 МН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/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125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= 187 МПа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Начало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/ длительность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oMath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47,9 ± 0,6 мс / 10,9 ± 1,3 мс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отметка D1 = 48,9 мс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Импульс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oMath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12,5 кН·с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M</m:t>
              </m:r>
              <m:d>
                <m:dPr>
                  <m:begChr m:val="|"/>
                  <m:endChr m:val="|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цм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sub>
                  </m:sSub>
                </m:e>
              </m:d>
            </m:oMath>
            <w:r>
              <w:rPr>
                <w:b w:val="0"/>
                <w:i w:val="0"/>
                <w:sz w:val="19"/>
              </w:rPr>
              <w:t xml:space="preserve"> = 12,4 кН·с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Амплитуда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(форкамера)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2,08 ± 0,42 МН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125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50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oMath>
            <w:r>
              <w:rPr>
                <w:b w:val="0"/>
                <w:i w:val="0"/>
                <w:sz w:val="19"/>
              </w:rPr>
              <w:t xml:space="preserve"> = 202 МПа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Начало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oMath>
            <w:r>
              <w:rPr>
                <w:b w:val="0"/>
                <w:i w:val="0"/>
                <w:sz w:val="19"/>
              </w:rPr>
              <w:t xml:space="preserve"> / длительность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oMath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64,5 ± 1,2 мс / 10,1 ± 2,1 мс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максимум 69,5 мс; вылет 70,07 мс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Импульс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oMath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10,5 кН·с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 xml:space="preserve">Сопротивление опор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oMath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11,1 ± 4,3 кН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замедление дрейфа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СКО / максимум невязки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0,31 / 0,76 мм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 w:line="192" w:lineRule="auto"/>
      </w:pP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Результат согласуется с тремя независимыми признаками. Начало импульса </w:t>
      </w:r>
      <m:oMath>
        <m:r>
          <w:rPr>
            <w:rFonts w:ascii="Cambria Math" w:hAnsi="Cambria Math"/>
          </w:rPr>
          <m:t xml:space="preserve">P</m:t>
        </m:r>
      </m:oMath>
      <w:r>
        <w:rPr>
          <w:b w:val="0"/>
          <w:i w:val="0"/>
        </w:rPr>
        <w:t xml:space="preserve"> (47,9 ± 0,6 мс) совпадает с отметкой D1 (48,9 мс), которая при подгонке не использовалась. Максимум </w:t>
      </w:r>
      <m:oMath>
        <m:r>
          <w:rPr>
            <w:rFonts w:ascii="Cambria Math" w:hAnsi="Cambria Math"/>
          </w:rPr>
          <m:t xml:space="preserve">Q</m:t>
        </m:r>
      </m:oMath>
      <w:r>
        <w:rPr>
          <w:b w:val="0"/>
          <w:i w:val="0"/>
        </w:rPr>
        <w:t xml:space="preserve"> (69,5 мс) совпадает с моментом вылета (70,07 мс). Эквивалентные давления около 190–200 МПа имеют правдоподобный для двухступенчатых установок порядок [2, 3]. Пиковая скорость центра масс составляет −0,69 м/с при 58,6 мс, а количество движения установки 12,4 кН·с близко к </w:t>
      </w:r>
      <m:oMath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>
          <w:b w:val="0"/>
          <w:i w:val="0"/>
        </w:rPr>
        <w:t xml:space="preserve">. Это отражает баланс импульса: при торможении поршня в форкамере его количество движения возвращается установке, и после выстрела остаётся лишь разность </w:t>
      </w:r>
      <m:oMath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Q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>
          <w:b w:val="0"/>
          <w:i w:val="0"/>
        </w:rPr>
        <w:t xml:space="preserve"> ≈ −2 кН·с. Робастными характеристиками являются импульсы и моменты времени; пиковые значения зависят от принятой формы (11), коэффициент корреляции </w:t>
      </w:r>
      <m:oMath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 и </w:t>
      </w:r>
      <m:oMath>
        <m:sSub>
          <m:e>
            <m:r>
              <w:rPr>
                <w:rFonts w:ascii="Cambria Math" w:hAnsi="Cambria Math"/>
              </w:rPr>
              <m:t xml:space="preserve">τ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>
          <w:b w:val="0"/>
          <w:i w:val="0"/>
        </w:rPr>
        <w:t xml:space="preserve"> равен −0,97.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Энергетический баланс выявляет существенную асимметрию. Работа нагрузок равна 11,4 кДж, из них 9,2 кДж после выстрела запасено в первой форме, тогда как кинетическая энергия остаточного отката составляет лишь </w:t>
      </w:r>
      <m:oMath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>
          <w:b w:val="0"/>
          <w:i w:val="0"/>
        </w:rPr>
        <w:t xml:space="preserve"> ≈ 87 Дж. Остановка отката и гашение колебаний — две задачи с энергиями, различающимися на два порядка.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Чувствительность модели показывает принципиальное ограничение имеющейся серии. Изменение </w:t>
      </w:r>
      <m:oMath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 на ±10 % меняет перемещение к 200 мс на ±40 %, поскольку остаточный импульс — малая разность двух больших величин. Уменьшение </w:t>
      </w:r>
      <m:oMath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>
          <w:b w:val="0"/>
          <w:i w:val="0"/>
        </w:rPr>
        <w:t xml:space="preserve"> всего на 6,0 и 7,1 % без всяких тормозов даёт 18 и 17 мм, т.е. значения опытов 2 и 3. Раскрытие стыка к нагрузке значительно менее чувствительно: ±6–8 % при вариации </w:t>
      </w:r>
      <m:oMath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 ±10 % и </w:t>
      </w:r>
      <m:oMath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b w:val="0"/>
          <w:i w:val="0"/>
        </w:rPr>
        <w:t xml:space="preserve"> ±20 %.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5. Механика тормоза и тормозная способность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Характеристика тарельчатой пружины с опорными плоскостями рассчитывается по формуле Альмена–Ласло с поправками EN 16984 [9, 11]: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E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ν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 </m:t>
        </m:r>
        <m:f>
          <m:num>
            <m:sSubSup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4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 xml:space="preserve"> </m:t>
            </m:r>
            <m:r>
              <w:rPr>
                <w:rFonts w:ascii="Cambria Math" w:hAnsi="Cambria Math"/>
              </w:rPr>
              <m:t xml:space="preserve">t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′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 </m:t>
                </m:r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num>
          <m:den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 </m:t>
        </m:r>
        <m:f>
          <m:num>
            <m:r>
              <w:rPr>
                <w:rFonts w:ascii="Cambria Math" w:hAnsi="Cambria Math"/>
              </w:rPr>
              <m:t xml:space="preserve">s</m:t>
            </m:r>
          </m:num>
          <m:den>
            <m:r>
              <w:rPr>
                <w:rFonts w:ascii="Cambria Math" w:hAnsi="Cambria Math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′</m:t>
            </m:r>
          </m:den>
        </m:f>
        <m:d>
          <m:dPr>
            <m:begChr m:val="["/>
            <m:endChr m:val="]"/>
          </m:dPr>
          <m:e>
            <m:sSubSup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4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′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′</m:t>
                    </m:r>
                  </m:den>
                </m:f>
              </m:e>
            </m:d>
            <m:d>
              <m:dPr>
                <m:begChr m:val="("/>
                <m:endChr m:val=")"/>
              </m:dPr>
              <m:e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′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′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,</m:t>
        </m:r>
      </m:oMath>
      <w:r>
        <w:tab/>
        <w:t>(13)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π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 </m:t>
        </m:r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δ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δ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f>
              <m:num>
                <m:r>
                  <w:rPr>
                    <w:rFonts w:ascii="Cambria Math" w:hAnsi="Cambria Math"/>
                  </w:rPr>
                  <m:t xml:space="preserve">δ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δ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den>
            </m:f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ln</m:t>
                </m:r>
                <m:r>
                  <w:rPr>
                    <w:rFonts w:ascii="Cambria Math" w:hAnsi="Cambria Math"/>
                  </w:rPr>
                  <m:t xml:space="preserve">δ</m:t>
                </m:r>
              </m:den>
            </m:f>
          </m:den>
        </m:f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D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tab/>
        <w:t>(14)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  <w:r>
        <w:rPr>
          <w:b w:val="0"/>
          <w:i w:val="0"/>
        </w:rPr>
        <w:t xml:space="preserve"> — поправочный коэффициент для пружин с опорными плоскостями. При </w:t>
      </w:r>
      <m:oMath>
        <m:r>
          <w:rPr>
            <w:rFonts w:ascii="Cambria Math" w:hAnsi="Cambria Math"/>
          </w:rPr>
          <m:t xml:space="preserve">δ</m:t>
        </m:r>
      </m:oMath>
      <w:r>
        <w:rPr>
          <w:b w:val="0"/>
          <w:i w:val="0"/>
        </w:rPr>
        <w:t xml:space="preserve"> = 2,286 получено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</w:rPr>
        <w:t xml:space="preserve"> = 0,7393 и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  <w:r>
        <w:rPr>
          <w:b w:val="0"/>
          <w:i w:val="0"/>
        </w:rPr>
        <w:t xml:space="preserve"> = 1,028 (</w:t>
      </w:r>
      <m:oMath>
        <m:r>
          <w:rPr>
            <w:rFonts w:ascii="Cambria Math" w:hAnsi="Cambria Math"/>
          </w:rPr>
          <m:t xml:space="preserve">E</m:t>
        </m:r>
      </m:oMath>
      <w:r>
        <w:rPr>
          <w:b w:val="0"/>
          <w:i w:val="0"/>
        </w:rPr>
        <w:t xml:space="preserve"> = 206 ГПа, </w:t>
      </w:r>
      <m:oMath>
        <m:r>
          <w:rPr>
            <w:rFonts w:ascii="Cambria Math" w:hAnsi="Cambria Math"/>
          </w:rPr>
          <m:t xml:space="preserve">ν</m:t>
        </m:r>
      </m:oMath>
      <w:r>
        <w:rPr>
          <w:b w:val="0"/>
          <w:i w:val="0"/>
        </w:rPr>
        <w:t xml:space="preserve"> = 0,3). Поскольку 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′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′</m:t>
        </m:r>
      </m:oMath>
      <w:r>
        <w:rPr>
          <w:b w:val="0"/>
          <w:i w:val="0"/>
        </w:rPr>
        <w:t xml:space="preserve"> = 0,238, характеристика практически линейна с жёсткостью </w:t>
      </w:r>
      <m:oMath>
        <m:r>
          <w:rPr>
            <w:rFonts w:ascii="Cambria Math" w:hAnsi="Cambria Math"/>
          </w:rPr>
          <m:t xml:space="preserve">c</m:t>
        </m:r>
      </m:oMath>
      <w:r>
        <w:rPr>
          <w:b w:val="0"/>
          <w:i w:val="0"/>
        </w:rPr>
        <w:t xml:space="preserve"> ≈ 34,0 кН/мм (рисунок 8, а). Для пакета из </w:t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т</m:t>
            </m:r>
          </m:sub>
        </m:sSub>
      </m:oMath>
      <w:r>
        <w:rPr>
          <w:b w:val="0"/>
          <w:i w:val="0"/>
        </w:rPr>
        <w:t xml:space="preserve"> = 6 пружин, установленных последовательно, и </w:t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</m:t>
            </m:r>
          </m:sub>
        </m:sSub>
      </m:oMath>
      <w:r>
        <w:rPr>
          <w:b w:val="0"/>
          <w:i w:val="0"/>
        </w:rPr>
        <w:t xml:space="preserve"> = 3 пакетов нормальная сила и сила трения тормоза равны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</m:t>
            </m:r>
          </m:sub>
        </m:sSub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т</m:t>
            </m:r>
          </m:sub>
        </m:sSub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,</m:t>
        </m:r>
      </m:oMath>
      <w:r>
        <w:tab/>
        <w:t>(15)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поскольку нормальная сила действует на двух поверхностях трения: пластина — головка рельса и захваты — нижние грани головки. Коэффициенты трения пар «пластина — рельс» и «захват — рельс» не определялись (материал пластины в 3D-модели не указан), поэтому принят диапазон </w:t>
      </w:r>
      <m:oMath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= 0,3–0,8. Чувствительность регулировки </w:t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</m:t>
            </m:r>
          </m:sub>
        </m:sSub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т</m:t>
            </m:r>
          </m:sub>
        </m:sSub>
      </m:oMath>
      <w:r>
        <w:rPr>
          <w:b w:val="0"/>
          <w:i w:val="0"/>
        </w:rPr>
        <w:t xml:space="preserve"> = 17,0 кН/мм на тормоз: при шаге резьбы гайки </w:t>
      </w:r>
      <m:oMath>
        <m:r>
          <w:rPr>
            <w:rFonts w:ascii="Cambria Math" w:hAnsi="Cambria Math"/>
          </w:rPr>
          <m:t xml:space="preserve">p</m:t>
        </m:r>
      </m:oMath>
      <w:r>
        <w:rPr>
          <w:b w:val="0"/>
          <w:i w:val="0"/>
        </w:rPr>
        <w:t xml:space="preserve"> один оборот меняет </w:t>
      </w:r>
      <m:oMath>
        <m:r>
          <w:rPr>
            <w:rFonts w:ascii="Cambria Math" w:hAnsi="Cambria Math"/>
          </w:rPr>
          <m:t xml:space="preserve">N</m:t>
        </m:r>
      </m:oMath>
      <w:r>
        <w:rPr>
          <w:b w:val="0"/>
          <w:i w:val="0"/>
        </w:rPr>
        <w:t xml:space="preserve"> на </w:t>
      </w:r>
      <m:oMath>
        <m:r>
          <w:rPr>
            <w:rFonts w:ascii="Cambria Math" w:hAnsi="Cambria Math"/>
          </w:rPr>
          <m:t xml:space="preserve">17</m:t>
        </m:r>
        <m:r>
          <w:rPr>
            <w:rFonts w:ascii="Cambria Math" w:hAnsi="Cambria Math"/>
          </w:rPr>
          <m:t xml:space="preserve">p</m:t>
        </m:r>
      </m:oMath>
      <w:r>
        <w:rPr>
          <w:b w:val="0"/>
          <w:i w:val="0"/>
        </w:rPr>
        <w:t xml:space="preserve"> кН (</w:t>
      </w:r>
      <m:oMath>
        <m:r>
          <w:rPr>
            <w:rFonts w:ascii="Cambria Math" w:hAnsi="Cambria Math"/>
          </w:rPr>
          <m:t xml:space="preserve">p</m:t>
        </m:r>
      </m:oMath>
      <w:r>
        <w:rPr>
          <w:b w:val="0"/>
          <w:i w:val="0"/>
        </w:rPr>
        <w:t xml:space="preserve"> в мм). Отсюда необходимость прямой калибровки «деление шкалы — сила».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6 – Характеристика тарельчатой пружины и тормозная способность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1077"/>
        <w:gridCol w:w="907"/>
        <w:gridCol w:w="793"/>
        <w:gridCol w:w="963"/>
        <w:gridCol w:w="1134"/>
        <w:gridCol w:w="907"/>
        <w:gridCol w:w="1304"/>
        <w:gridCol w:w="1474"/>
        <w:gridCol w:w="793"/>
      </w:tblGrid>
      <w:tr>
        <w:trPr>
          <w:cantSplit/>
          <w:tblHeader/>
        </w:trPr>
        <w:tc>
          <w:tcPr>
            <w:tcW w:type="dxa" w:w="107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/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′</m:t>
              </m:r>
            </m:oMath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s</m:t>
              </m:r>
            </m:oMath>
            <w:r>
              <w:rPr>
                <w:b/>
                <w:i w:val="0"/>
                <w:sz w:val="18"/>
              </w:rPr>
              <w:t>, мм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b/>
                <w:i w:val="0"/>
                <w:sz w:val="18"/>
              </w:rPr>
              <w:t>, кН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oMath>
            <w:r>
              <w:rPr>
                <w:b/>
                <w:i w:val="0"/>
                <w:sz w:val="18"/>
              </w:rPr>
              <w:t>, МПа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N</m:t>
              </m:r>
            </m:oMath>
            <w:r>
              <w:rPr>
                <w:b/>
                <w:i w:val="0"/>
                <w:sz w:val="18"/>
              </w:rPr>
              <w:t xml:space="preserve"> на тормоз, кН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Δ</m:t>
              </m:r>
            </m:oMath>
            <w:r>
              <w:rPr>
                <w:b/>
                <w:i w:val="0"/>
                <w:sz w:val="18"/>
              </w:rPr>
              <w:t>, мм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oMath>
            <w:r>
              <w:rPr>
                <w:b/>
                <w:i w:val="0"/>
                <w:sz w:val="18"/>
              </w:rPr>
              <w:t xml:space="preserve"> на тормоз, кН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Σ</m:t>
                  </m:r>
                </m:sub>
              </m:sSub>
            </m:oMath>
            <w:r>
              <w:rPr>
                <w:b/>
                <w:i w:val="0"/>
                <w:sz w:val="18"/>
              </w:rPr>
              <w:t xml:space="preserve"> (10 тормозов), кН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q</m:t>
              </m:r>
            </m:oMath>
            <w:r>
              <w:rPr>
                <w:b/>
                <w:i w:val="0"/>
                <w:sz w:val="18"/>
              </w:rPr>
              <w:t>, МПа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0,25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0,175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5,84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−604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17,5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1,05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5,3…14,0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53…140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1,7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0,50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0,350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11,50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−1208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34,5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2,10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10,3…27,6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103…276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3,4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0,75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0,525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17,03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−1813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51,1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3,15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15,3…40,9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153…409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5,0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0,05…0,17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0,04…0,12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3,8…12,3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0,22…0,73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3,0…3,7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30…37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0,4…1,2</w:t>
            </w:r>
          </w:p>
        </w:tc>
      </w:tr>
    </w:tbl>
    <w:p>
      <w:pPr>
        <w:spacing w:after="40" w:line="192" w:lineRule="auto"/>
      </w:pPr>
    </w:p>
    <w:p>
      <w:pPr>
        <w:spacing w:before="0" w:after="80" w:line="240" w:lineRule="auto"/>
        <w:ind w:firstLine="0"/>
        <w:jc w:val="both"/>
      </w:pPr>
      <w:r>
        <w:rPr>
          <w:b w:val="0"/>
          <w:i w:val="0"/>
          <w:sz w:val="20"/>
        </w:rPr>
        <w:t xml:space="preserve">Примечание: </w:t>
      </w:r>
      <m:oMath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b w:val="0"/>
          <w:i w:val="0"/>
          <w:sz w:val="20"/>
        </w:rPr>
        <w:t xml:space="preserve"> — напряжение на верхней кромке у внутреннего диаметра; </w:t>
      </w:r>
      <m:oMath>
        <m:r>
          <w:rPr>
            <w:rFonts w:ascii="Cambria Math" w:hAnsi="Cambria Math"/>
          </w:rPr>
          <m:t xml:space="preserve">q</m:t>
        </m:r>
      </m:oMath>
      <w:r>
        <w:rPr>
          <w:b w:val="0"/>
          <w:i w:val="0"/>
          <w:sz w:val="20"/>
        </w:rPr>
        <w:t xml:space="preserve"> — среднее давление на пластине 203 × 50 мм; последняя строка — уровень опытов 2–3 (раздел 7.2). Допустимый рабочий прогиб должен быть проверен по марке стали пружин [10, 11].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58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8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8 – Характеристики: а — тарельчатая пружина 32 × 14 × 3,0 × 0,7; б — нормальная сила и сила трения одного тормоза в зависимости от сжатия пакета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6. Сухое трение при наложении колебаний на откат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После выстрела скорость точки крепления </w:t>
      </w:r>
      <m:oMath>
        <m:r>
          <w:rPr>
            <w:rFonts w:ascii="Cambria Math" w:hAnsi="Cambria Math"/>
          </w:rPr>
          <m:t xml:space="preserve">j</m:t>
        </m:r>
      </m:oMath>
      <w:r>
        <w:rPr>
          <w:b w:val="0"/>
          <w:i w:val="0"/>
        </w:rPr>
        <w:t>-й станции равна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ω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,</m:t>
        </m:r>
      </m:oMath>
      <w:r>
        <w:tab/>
        <w:t>(16)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r>
          <w:rPr>
            <w:rFonts w:ascii="Cambria Math" w:hAnsi="Cambria Math"/>
          </w:rPr>
          <m:t xml:space="preserve">q</m:t>
        </m:r>
      </m:oMath>
      <w:r>
        <w:rPr>
          <w:b w:val="0"/>
          <w:i w:val="0"/>
        </w:rPr>
        <w:t xml:space="preserve"> — модальная амплитуда (нормированная на максимум формы). Сила Кулона </w:t>
      </w:r>
      <m:oMath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 </m:t>
        </m:r>
        <m:r>
          <m:rPr>
            <m:sty m:val="p"/>
          </m:rPr>
          <w:rPr>
            <w:rFonts w:ascii="Cambria Math" w:hAnsi="Cambria Math"/>
          </w:rPr>
          <m:t xml:space="preserve">sign</m:t>
        </m:r>
        <m:r>
          <m:rPr>
            <m:sty m:val="p"/>
          </m:rPr>
          <w:rPr>
            <w:rFonts w:ascii="Cambria Math" w:hAnsi="Cambria Math"/>
          </w:rPr>
          <m:t xml:space="preserve"> 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b w:val="0"/>
          <w:i w:val="0"/>
        </w:rPr>
        <w:t xml:space="preserve"> при </w:t>
      </w:r>
      <m:oMath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ω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b w:val="0"/>
          <w:i w:val="0"/>
        </w:rPr>
        <w:t xml:space="preserve"> меняет знак дважды за период. Её среднее значение, тормозящее откат, и энергия, отбираемая у колебаний за цикл, равны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d>
          <m:dPr>
            <m:begChr m:val="⟨"/>
            <m:endChr m:val="⟩"/>
          </m:d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 </m:t>
        </m:r>
        <m:r>
          <w:rPr>
            <w:rFonts w:ascii="Cambria Math" w:hAnsi="Cambria Math"/>
          </w:rPr>
          <m:t xml:space="preserve">η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η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d>
          <m:dPr>
            <m:begChr m:val="{"/>
            <m:endChr m:val=""/>
          </m:dPr>
          <m:e>
            <m:eqAr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arcsin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</m:e>
              <m:e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≥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</m:e>
            </m:eqArr>
          </m:e>
        </m:d>
      </m:oMath>
      <w:r>
        <w:tab/>
        <w:t>(17)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 </m:t>
        </m:r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 xml:space="preserve"> </m:t>
        </m:r>
        <m:r>
          <m:rPr>
            <m:sty m:val="p"/>
          </m:rPr>
          <w:rPr>
            <w:rFonts w:ascii="Cambria Math" w:hAnsi="Cambria Math"/>
          </w:rPr>
          <m:t xml:space="preserve"> 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</m:t>
        </m:r>
        <m:r>
          <w:rPr>
            <w:rFonts w:ascii="Cambria Math" w:hAnsi="Cambria Math"/>
          </w:rPr>
          <m:t xml:space="preserve">κ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m:rPr>
            <m:sty m:val="p"/>
          </m:rPr>
          <w:rPr>
            <w:rFonts w:ascii="Cambria Math" w:hAnsi="Cambria Math"/>
          </w:rPr>
          <m:t xml:space="preserve"> </m:t>
        </m:r>
        <m:r>
          <m:rPr>
            <m:sty m:val="p"/>
          </m:rPr>
          <w:rPr>
            <w:rFonts w:ascii="Cambria Math" w:hAnsi="Cambria Math"/>
          </w:rPr>
          <m:t xml:space="preserve"> 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.</m:t>
        </m:r>
      </m:oMath>
      <w:r>
        <w:tab/>
        <w:t>(18)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Формулы (17), (18) получены осреднением </w:t>
      </w:r>
      <m:oMath>
        <m:r>
          <m:rPr>
            <m:sty m:val="p"/>
          </m:rPr>
          <w:rPr>
            <w:rFonts w:ascii="Cambria Math" w:hAnsi="Cambria Math"/>
          </w:rPr>
          <m:t xml:space="preserve">sign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A</m:t>
        </m:r>
        <m:r>
          <m:rPr>
            <m:sty m:val="p"/>
          </m:rP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 xml:space="preserve">sign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)</m:t>
        </m:r>
        <m:r>
          <m:rPr>
            <m:sty m:val="p"/>
          </m:rP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</m:oMath>
      <w:r>
        <w:rPr>
          <w:b w:val="0"/>
          <w:i w:val="0"/>
        </w:rPr>
        <w:t xml:space="preserve"> по фазе </w:t>
      </w:r>
      <m:oMath>
        <m:r>
          <w:rPr>
            <w:rFonts w:ascii="Cambria Math" w:hAnsi="Cambria Math"/>
          </w:rPr>
          <m:t xml:space="preserve">θ</m:t>
        </m:r>
      </m:oMath>
      <w:r>
        <w:rPr>
          <w:b w:val="0"/>
          <w:i w:val="0"/>
        </w:rPr>
        <w:t xml:space="preserve"> (ср. [6, 8]). Эквивалентный коэффициент демпфирования первой формы, вносимый тормозами, равен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ζ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  <m:sup/>
              <m:e>
                <m:r>
                  <w:rPr>
                    <w:rFonts w:ascii="Cambria Math" w:hAnsi="Cambria Math"/>
                  </w:rPr>
                  <m:t xml:space="preserve">Δ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π</m:t>
            </m:r>
            <m:sSub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π</m:t>
            </m:r>
            <m:sSup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hAnsi="Cambria Math"/>
                  </w:rPr>
                  <m:t xml:space="preserve">∗</m:t>
                </m:r>
              </m:sup>
            </m:sSup>
            <m:sSup>
              <m:e>
                <m:r>
                  <w:rPr>
                    <w:rFonts w:ascii="Cambria Math" w:hAnsi="Cambria Math"/>
                  </w:rPr>
                  <m:t xml:space="preserve">ω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q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d>
              <m:dPr>
                <m:begChr m:val="|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e>
            </m:d>
            <m:r>
              <w:rPr>
                <w:rFonts w:ascii="Cambria Math" w:hAnsi="Cambria Math"/>
              </w:rPr>
              <m:t xml:space="preserve">κ</m:t>
            </m:r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</m:nary>
        <m:r>
          <w:rPr>
            <w:rFonts w:ascii="Cambria Math" w:hAnsi="Cambria Math"/>
          </w:rPr>
          <m:t xml:space="preserve">,</m:t>
        </m:r>
      </m:oMath>
      <w:r>
        <w:tab/>
        <w:t>(19)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sSup>
          <m:e>
            <m:r>
              <w:rPr>
                <w:rFonts w:ascii="Cambria Math" w:hAnsi="Cambria Math"/>
              </w:rPr>
              <m:t xml:space="preserve">m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</m:oMath>
      <w:r>
        <w:rPr>
          <w:b w:val="0"/>
          <w:i w:val="0"/>
        </w:rPr>
        <w:t xml:space="preserve"> = 8479 кг — модальная масса, </w:t>
      </w:r>
      <m:oMath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m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sSup>
          <m:e>
            <m:r>
              <w:rPr>
                <w:rFonts w:ascii="Cambria Math" w:hAnsi="Cambria Math"/>
              </w:rPr>
              <m:t xml:space="preserve">ω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>
          <w:b w:val="0"/>
          <w:i w:val="0"/>
        </w:rPr>
        <w:t>. Сразу после выстрела (</w:t>
      </w:r>
      <m:oMath>
        <m:r>
          <w:rPr>
            <w:rFonts w:ascii="Cambria Math" w:hAnsi="Cambria Math"/>
          </w:rPr>
          <m:t xml:space="preserve">q</m:t>
        </m:r>
      </m:oMath>
      <w:r>
        <w:rPr>
          <w:b w:val="0"/>
          <w:i w:val="0"/>
        </w:rPr>
        <w:t xml:space="preserve"> = 3,66 мм, </w:t>
      </w:r>
      <m:oMath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>
          <w:b w:val="0"/>
          <w:i w:val="0"/>
        </w:rPr>
        <w:t xml:space="preserve"> ≈ 0,1 м/с) параметр </w:t>
      </w:r>
      <m:oMath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b w:val="0"/>
          <w:i w:val="0"/>
        </w:rPr>
        <w:t xml:space="preserve"> равен 0,07; 0,14; 1,31; 0,11; 0,08 для S1–S5. Поэтому для станций S1, S4, S5 </w:t>
      </w:r>
      <m:oMath>
        <m:r>
          <w:rPr>
            <w:rFonts w:ascii="Cambria Math" w:hAnsi="Cambria Math"/>
          </w:rPr>
          <m:t xml:space="preserve">η</m:t>
        </m:r>
      </m:oMath>
      <w:r>
        <w:rPr>
          <w:b w:val="0"/>
          <w:i w:val="0"/>
        </w:rPr>
        <w:t xml:space="preserve"> = 0,04–0,07: их сила трения почти целиком расходуется на гашение колебаний и мало тормозит откат. Станция S3 в узле, напротив, работает на откат полностью (</w:t>
      </w:r>
      <m:oMath>
        <m:r>
          <w:rPr>
            <w:rFonts w:ascii="Cambria Math" w:hAnsi="Cambria Math"/>
          </w:rPr>
          <m:t xml:space="preserve">η</m:t>
        </m:r>
      </m:oMath>
      <w:r>
        <w:rPr>
          <w:b w:val="0"/>
          <w:i w:val="0"/>
        </w:rPr>
        <w:t xml:space="preserve"> = 1), но колебаний не гасит (рисунок 9). Для равномерной схемы с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= 30 кН среднее тормозящее усилие в начале процесса составляет лишь 7,5 кН (25 %), а </w:t>
      </w:r>
      <m:oMath>
        <m:sSub>
          <m:e>
            <m:r>
              <w:rPr>
                <w:rFonts w:ascii="Cambria Math" w:hAnsi="Cambria Math"/>
              </w:rPr>
              <m:t xml:space="preserve">ζ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0"/>
          <w:i w:val="0"/>
        </w:rPr>
        <w:t xml:space="preserve"> = 0,0022 (15 % собственного демпфирования). По мере затухания колебаний </w:t>
      </w:r>
      <m:oMath>
        <m:r>
          <w:rPr>
            <w:rFonts w:ascii="Cambria Math" w:hAnsi="Cambria Math"/>
          </w:rPr>
          <m:t xml:space="preserve">η</m:t>
        </m:r>
      </m:oMath>
      <w:r>
        <w:rPr>
          <w:b w:val="0"/>
          <w:i w:val="0"/>
        </w:rPr>
        <w:t xml:space="preserve"> растёт, поэтому эффект нелинейный и оценивается прямым моделированием.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16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f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1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9 – Эффективность сухого трения: а — доли силы трения, идущие на торможение отката (17) и гашение колебаний (18); б — модальные амплитуды в точках крепления станций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7. Численное сравнение схем размещения и уровней затяжки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7.1. Модель и её проверка.</w:t>
      </w:r>
      <w:r>
        <w:rPr>
          <w:b w:val="0"/>
          <w:i w:val="0"/>
        </w:rPr>
        <w:t xml:space="preserve"> Уравнение (10) интегрируется явной схемой центральных разностей (321 узел, шаг по оси 0,1 м, </w:t>
      </w:r>
      <m:oMath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</m:oMath>
      <w:r>
        <w:rPr>
          <w:b w:val="0"/>
          <w:i w:val="0"/>
        </w:rPr>
        <w:t xml:space="preserve"> = 0,4</w:t>
      </w:r>
      <m:oMath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кр</m:t>
            </m:r>
          </m:sub>
        </m:sSub>
      </m:oMath>
      <w:r>
        <w:rPr>
          <w:b w:val="0"/>
          <w:i w:val="0"/>
        </w:rPr>
        <w:t xml:space="preserve"> = 7,8 мкс). Тормоз </w:t>
      </w:r>
      <m:oMath>
        <m:r>
          <w:rPr>
            <w:rFonts w:ascii="Cambria Math" w:hAnsi="Cambria Math"/>
          </w:rPr>
          <m:t xml:space="preserve">j</m:t>
        </m:r>
      </m:oMath>
      <w:r>
        <w:rPr>
          <w:b w:val="0"/>
          <w:i w:val="0"/>
        </w:rPr>
        <w:t xml:space="preserve">-й станции представлен элементом Дженкинса: упругая тяга жёсткостью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</m:oMath>
      <w:r>
        <w:rPr>
          <w:b w:val="0"/>
          <w:i w:val="0"/>
        </w:rPr>
        <w:t xml:space="preserve"> = 5,6·10⁸ Н/м (</w:t>
      </w:r>
      <m:oMath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L</m:t>
        </m:r>
      </m:oMath>
      <w:r>
        <w:rPr>
          <w:b w:val="0"/>
          <w:i w:val="0"/>
        </w:rPr>
        <w:t xml:space="preserve"> тяги по 3D-модели) последовательно с кулоновским ползуном, усилие проскальзывания которого равно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b w:val="0"/>
          <w:i w:val="0"/>
        </w:rPr>
        <w:t>: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Sup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 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r</m:t>
            </m:r>
          </m:sup>
        </m:sSubSup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 </m:t>
            </m:r>
            <m:r>
              <w:rPr>
                <w:rFonts w:ascii="Cambria Math" w:hAnsi="Cambria Math"/>
              </w:rPr>
              <m:t xml:space="preserve">n</m:t>
            </m:r>
          </m:sup>
        </m:sSubSup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 </m:t>
        </m:r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sSubSup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 </m:t>
            </m:r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p>
        </m:sSubSup>
        <m:r>
          <w:rPr>
            <w:rFonts w:ascii="Cambria Math" w:hAnsi="Cambria Math"/>
          </w:rPr>
          <m:t xml:space="preserve">=</m:t>
        </m:r>
        <m:d>
          <m:dPr>
            <m:begChr m:val="{"/>
            <m:endChr m:val=""/>
          </m:dPr>
          <m:e>
            <m:eqAr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 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</m:t>
                </m:r>
                <m:d>
                  <m:dPr>
                    <m:begChr m:val="|"/>
                    <m:endChr m:val="|"/>
                  </m:dP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 </m:t>
                        </m:r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 xml:space="preserve">≤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sign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 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 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</m:t>
                </m:r>
                <m:d>
                  <m:dPr>
                    <m:begChr m:val="|"/>
                    <m:endChr m:val="|"/>
                  </m:dP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 </m:t>
                        </m:r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 xml:space="preserve">&gt;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.</m:t>
                </m:r>
              </m:e>
            </m:eqArr>
          </m:e>
        </m:d>
      </m:oMath>
      <w:r>
        <w:tab/>
        <w:t>(20)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Для каждого расчёта проверяется энергобаланс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внеш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,</m:t>
        </m:r>
      </m:oMath>
      <w:r>
        <w:tab/>
        <w:t>(21)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где </w:t>
      </w:r>
      <m:oMath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b w:val="0"/>
          <w:i w:val="0"/>
        </w:rPr>
        <w:t xml:space="preserve">, </w:t>
      </w:r>
      <m:oMath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b w:val="0"/>
          <w:i w:val="0"/>
        </w:rPr>
        <w:t xml:space="preserve"> — кинетическая и упругая энергии;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b w:val="0"/>
          <w:i w:val="0"/>
        </w:rPr>
        <w:t xml:space="preserve">,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b w:val="0"/>
          <w:i w:val="0"/>
        </w:rPr>
        <w:t xml:space="preserve">,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b w:val="0"/>
          <w:i w:val="0"/>
        </w:rPr>
        <w:t xml:space="preserve"> — диссипация в конструкции, тормозах и опорах. Относительная погрешность баланса во всех расчётах не превышает 5·10⁻⁴. Сходимость проверена: при уменьшении шага сетки с 0,1 до 0,05 м и шага по времени вдвое изменения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b w:val="0"/>
          <w:i w:val="0"/>
        </w:rPr>
        <w:t xml:space="preserve">, перемещений форкамеры, полного отката и </w:t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J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</w:rPr>
        <w:t xml:space="preserve"> не превышают 0,3 %. Без тормозов модель воспроизводит опыт 1 (раздел 4). При задании тормозов со всех пяти станций с равными усилиями перемещения 18 и 17 мм к 200 мс получаются при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= 30,3 и 37,0 кН, т.е. 3,0–3,7 кН на тормоз. Этому соответствует сжатие пакетов лишь 0,22–0,73 мм, т.е. прогиб пружин 5–17 % 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′</m:t>
        </m:r>
      </m:oMath>
      <w:r>
        <w:rPr>
          <w:b w:val="0"/>
          <w:i w:val="0"/>
        </w:rPr>
        <w:t xml:space="preserve"> (таблица 6). Идентифицированное усилие зависит от схемы: без S3 оно составляет 45 кН, только на S1 и S5 — 53,5 кН. Уменьшение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</m:oMath>
      <w:r>
        <w:rPr>
          <w:b w:val="0"/>
          <w:i w:val="0"/>
        </w:rPr>
        <w:t xml:space="preserve"> в 10 раз меняет результат менее чем на 3 %. С учётом раздела 4 эта оценка условна: тот же эффект даёт уменьшение импульса </w:t>
      </w:r>
      <m:oMath>
        <m:r>
          <w:rPr>
            <w:rFonts w:ascii="Cambria Math" w:hAnsi="Cambria Math"/>
          </w:rPr>
          <m:t xml:space="preserve">P</m:t>
        </m:r>
      </m:oMath>
      <w:r>
        <w:rPr>
          <w:b w:val="0"/>
          <w:i w:val="0"/>
        </w:rPr>
        <w:t xml:space="preserve"> на 6–7 %.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7.2. Результаты.</w:t>
      </w:r>
      <w:r>
        <w:rPr>
          <w:b w:val="0"/>
          <w:i w:val="0"/>
        </w:rPr>
        <w:t xml:space="preserve"> Зависимости от суммарного усилия показаны на рисунке 10, сравнение десяти схем — в таблице 7 и на рисунке 11, временные процессы — на рисунке 12. Основные закономерности следующие.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246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n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10 – Влияние суммарного тормозного усилия для четырёх схем: а — перемещение форкамеры за 0–200 мс (пунктир — опыты 1–3); б — полный откат; в — амплитуда колебаний при 170–200 мс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7 – Сравнение схем размещения (результаты прямого моделирования)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396"/>
        <w:gridCol w:w="1644"/>
        <w:gridCol w:w="1927"/>
        <w:gridCol w:w="737"/>
        <w:gridCol w:w="793"/>
        <w:gridCol w:w="680"/>
        <w:gridCol w:w="793"/>
        <w:gridCol w:w="793"/>
        <w:gridCol w:w="680"/>
        <w:gridCol w:w="793"/>
      </w:tblGrid>
      <w:tr>
        <w:trPr>
          <w:cantSplit/>
          <w:tblHeader/>
        </w:trPr>
        <w:tc>
          <w:tcPr>
            <w:tcW w:type="dxa" w:w="397"/>
            <w:vMerge w:val="restart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7"/>
              </w:rPr>
              <w:t>№</w:t>
            </w:r>
          </w:p>
        </w:tc>
        <w:tc>
          <w:tcPr>
            <w:tcW w:type="dxa" w:w="1644"/>
            <w:vMerge w:val="restart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7"/>
              </w:rPr>
              <w:t>Схема</w:t>
            </w:r>
          </w:p>
        </w:tc>
        <w:tc>
          <w:tcPr>
            <w:tcW w:type="dxa" w:w="1928"/>
            <w:vMerge w:val="restart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7"/>
              </w:rPr>
              <w:t>Веса S1–S5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200</m:t>
                  </m:r>
                </m:sub>
              </m:sSub>
            </m:oMath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полн</m:t>
                  </m:r>
                </m:sub>
              </m:sSub>
            </m:oMath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170</m:t>
                  </m:r>
                </m:sub>
              </m:sSub>
            </m:oMath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oMath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полн</m:t>
                  </m:r>
                </m:sub>
              </m:sSub>
            </m:oMath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170</m:t>
                  </m:r>
                </m:sub>
              </m:sSub>
            </m:oMath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oMath>
          </w:p>
        </w:tc>
      </w:tr>
      <w:tr>
        <w:trPr>
          <w:cantSplit/>
          <w:tblHeader/>
        </w:trPr>
        <w:tc>
          <w:tcPr>
            <w:tcW w:type="dxa" w:w="397"/>
            <w:vMerge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type="dxa" w:w="1644"/>
            <w:vMerge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type="dxa" w:w="1928"/>
            <w:vMerge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type="dxa" w:w="3005"/>
            <w:gridSpan w:val="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Σ</m:t>
                  </m:r>
                </m:sub>
              </m:sSub>
            </m:oMath>
            <w:r>
              <w:rPr>
                <w:b/>
                <w:i w:val="0"/>
                <w:sz w:val="17"/>
              </w:rPr>
              <w:t xml:space="preserve"> = 30 кН</w:t>
            </w:r>
          </w:p>
        </w:tc>
        <w:tc>
          <w:tcPr>
            <w:tcW w:type="dxa" w:w="2268"/>
            <w:gridSpan w:val="3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Σ</m:t>
                  </m:r>
                </m:sub>
              </m:sSub>
            </m:oMath>
            <w:r>
              <w:rPr>
                <w:b/>
                <w:i w:val="0"/>
                <w:sz w:val="17"/>
              </w:rPr>
              <w:t xml:space="preserve"> = 100 кН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Без тормозов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23,5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40,3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1,14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40,3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1,14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3,17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5 пар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1-1-1-1-1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18,1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18,3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11,2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0,60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Без S1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0-1-1-1-1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17,7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1,01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10,8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0,70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3,08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Без S2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1-0-1-1-1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18,0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18,0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11,4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0,57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3,03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Без S3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1-1-0-1-1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19,7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23,2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12,6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0,48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3,03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Без S4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1-1-1-0-1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17,7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11,0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0,61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Без S5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1-1-1-1-0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17,5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17,5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1,00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10,9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0,66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2-1-1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2-0-1-1-0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17,9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17,9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11,4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0,54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3,01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Концевая S1+S5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1-0-0-0-1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20,3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24,4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0,89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14,0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0,34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2,98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Узловая S2-S3-S4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0-1-1-1-0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16,9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16,8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1,04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3,15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10,4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0,81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Пропорц. массе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0,23-0,17-0,17-0,31-0,12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18,3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18,8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11,3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0,58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3,04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★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Рекомендуемая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0,48-0,18-0,32-0,01-0,01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17,1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16,9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0,98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3,12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10,9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0,60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7"/>
              </w:rPr>
              <w:t>3,02</w:t>
            </w:r>
          </w:p>
        </w:tc>
      </w:tr>
    </w:tbl>
    <w:p>
      <w:pPr>
        <w:spacing w:after="40" w:line="192" w:lineRule="auto"/>
      </w:pPr>
    </w:p>
    <w:p>
      <w:pPr>
        <w:spacing w:before="0" w:after="80" w:line="240" w:lineRule="auto"/>
        <w:ind w:firstLine="0"/>
        <w:jc w:val="both"/>
      </w:pPr>
      <w:r>
        <w:rPr>
          <w:b w:val="0"/>
          <w:i w:val="0"/>
          <w:sz w:val="20"/>
        </w:rPr>
        <w:t xml:space="preserve">Примечание: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200</m:t>
            </m:r>
          </m:sub>
        </m:sSub>
      </m:oMath>
      <w:r>
        <w:rPr>
          <w:b w:val="0"/>
          <w:i w:val="0"/>
          <w:sz w:val="20"/>
        </w:rPr>
        <w:t xml:space="preserve"> — максимум перемещения форкамеры за 0–200 мс, мм;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полн</m:t>
            </m:r>
          </m:sub>
        </m:sSub>
      </m:oMath>
      <w:r>
        <w:rPr>
          <w:b w:val="0"/>
          <w:i w:val="0"/>
          <w:sz w:val="20"/>
        </w:rPr>
        <w:t xml:space="preserve"> — полный откат, мм; </w:t>
      </w:r>
      <m:oMath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170</m:t>
            </m:r>
          </m:sub>
        </m:sSub>
      </m:oMath>
      <w:r>
        <w:rPr>
          <w:b w:val="0"/>
          <w:i w:val="0"/>
          <w:sz w:val="20"/>
        </w:rPr>
        <w:t xml:space="preserve"> — амплитуда колебаний при 170–200 мс, мм; </w:t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J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  <w:sz w:val="20"/>
        </w:rPr>
        <w:t xml:space="preserve"> — максимальное усилие в стыке ПС3–ФК, МН. Схема 2-1-1: две пары на ЗК (двойное усилие S1), одна на муфте ПС2–ПС3 и одна на ФК.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1. Быструю фазу (до ≈ 75 мс) тормоза практически не меняют: газодинамические силы порядка 2 МН на два порядка превышают тормозные. Поэтому перемещение форкамеры не опускается ниже ≈ 11 мм даже при 200 кН. Регулируемым является только остаточный откат: полный откат уменьшается с 40,3 мм без тормозов до 18,3 мм при 30 кН, 11,2 мм при 100 кН и 8,0 мм при 200 кН (равномерная схема).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2. При одинаковом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схема влияет на результат в соответствии с (17)–(19). При 30 кН исключение узловой станции S3 увеличивает полный откат с 18,3 до 23,2 мм (+27 %). Концевая схема S1 + S5 даёт наибольший откат (24,4 мм), но наилучшее гашение колебаний. Узловая схема S2–S3–S4 даёт наименьший откат (16,8 мм), но наихудшее гашение.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3. Максимальное усилие в стыке ПС3–ФК без тормозов равно 3,17 МН, с тормозами — 2,79–3,15 МН; размах </w:t>
      </w:r>
      <m:oMath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L</m:t>
        </m:r>
      </m:oMath>
      <w:r>
        <w:rPr>
          <w:b w:val="0"/>
          <w:i w:val="0"/>
        </w:rPr>
        <w:t xml:space="preserve"> уменьшается с 0,252 до 0,217–0,250 мм. Тормоза не увеличивают нагрузку стыка, а несколько снижают её за счёт гашения колебаний. Квазистатическая составляющая от торможения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nary>
          <m:naryPr>
            <m:chr m:val="∑"/>
            <m:limLoc m:val="undOvr"/>
            <m:supHide m:val="1"/>
          </m:naryPr>
          <m:sub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&gt;</m:t>
            </m:r>
            <m:sSub>
              <m:e>
                <m:r>
                  <w:rPr>
                    <w:rFonts w:ascii="Cambria Math" w:hAnsi="Cambria Math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e>
        </m:nary>
        <m:r>
          <w:rPr>
            <w:rFonts w:ascii="Cambria Math" w:hAnsi="Cambria Math"/>
          </w:rPr>
          <m:t xml:space="preserve">−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M</m:t>
            </m:r>
          </m:den>
        </m:f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  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M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394</m:t>
        </m:r>
        <m:r>
          <w:rPr>
            <w:rFonts w:ascii="Cambria Math" w:hAnsi="Cambria Math"/>
          </w:rPr>
          <m:t xml:space="preserve">,</m:t>
        </m:r>
      </m:oMath>
      <w:r>
        <w:tab/>
        <w:t>(22)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для равномерной схемы составляет </w:t>
      </w:r>
      <m:oMath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006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, для рекомендуемой — </w:t>
      </w:r>
      <m:oMath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37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, т.е. не более 22 кН при 60 кН, или 0,7 % динамического усилия. Следовательно, рост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</w:rPr>
        <w:t xml:space="preserve"> в опытах 2–3 (с 0,81 до 1,10–1,20 мм) тормозами не объясняется. Вероятные причины — разброс газодинамического нагружения и нерегулярные контактные явления в соединении (раздел 2.5).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1816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1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 xml:space="preserve">Рисунок 11 – Компромисс «полный откат — остаточные колебания»: а —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  <w:sz w:val="22"/>
        </w:rPr>
        <w:t xml:space="preserve"> = 30 кН; б —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  <w:sz w:val="22"/>
        </w:rPr>
        <w:t xml:space="preserve"> = 100 кН (номера — по таблице 7; ★ — рекомендуемая схема, ◆ — оптимум задачи (23) при 30 кН)</w:t>
      </w:r>
    </w:p>
    <w:p>
      <w:pPr>
        <w:spacing w:before="0" w:after="0"/>
        <w:ind w:firstLine="567"/>
        <w:jc w:val="both"/>
      </w:pPr>
      <w:r>
        <w:rPr>
          <w:b/>
          <w:i w:val="0"/>
        </w:rPr>
        <w:t>7.3. Выбор относительных уровней затяжки.</w:t>
      </w:r>
      <w:r>
        <w:rPr>
          <w:b w:val="0"/>
          <w:i w:val="0"/>
        </w:rPr>
        <w:t xml:space="preserve"> Относительные усилия станций </w:t>
      </w:r>
      <m:oMath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выбирались из условия</w:t>
      </w:r>
    </w:p>
    <w:p>
      <w:pPr>
        <w:tabs>
          <w:tab w:pos="4819" w:val="center"/>
          <w:tab w:pos="9638" w:val="right"/>
        </w:tabs>
        <w:spacing w:before="60" w:after="60"/>
        <w:ind w:firstLine="0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 xml:space="preserve">min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 xml:space="preserve">w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полн</m:t>
            </m:r>
          </m:sub>
        </m:sSub>
        <m:r>
          <w:rPr>
            <w:rFonts w:ascii="Cambria Math" w:hAnsi="Cambria Math"/>
          </w:rPr>
          <m:t xml:space="preserve">(</m:t>
        </m:r>
        <m:r>
          <m:rPr>
            <m:sty m:val="b"/>
          </m:rP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)</m:t>
        </m:r>
        <m:r>
          <m:rPr>
            <m:sty m:val="p"/>
          </m:rPr>
          <w:rPr>
            <w:rFonts w:ascii="Cambria Math" w:hAnsi="Cambria Math"/>
          </w:rPr>
          <m:t xml:space="preserve"> </m:t>
        </m:r>
        <m:r>
          <m:rPr>
            <m:sty m:val="p"/>
          </m:rPr>
          <w:rPr>
            <w:rFonts w:ascii="Cambria Math" w:hAnsi="Cambria Math"/>
          </w:rPr>
          <m:t xml:space="preserve">при</m:t>
        </m:r>
        <m:r>
          <m:rPr>
            <m:sty m:val="p"/>
          </m:rPr>
          <w:rPr>
            <w:rFonts w:ascii="Cambria Math" w:hAnsi="Cambria Math"/>
          </w:rPr>
          <m:t xml:space="preserve"> 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170</m:t>
            </m:r>
          </m:sub>
        </m:sSub>
        <m:r>
          <w:rPr>
            <w:rFonts w:ascii="Cambria Math" w:hAnsi="Cambria Math"/>
          </w:rPr>
          <m:t xml:space="preserve">(</m:t>
        </m:r>
        <m:r>
          <m:rPr>
            <m:sty m:val="b"/>
          </m:rP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sSubSup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170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равн</m:t>
            </m:r>
          </m:sup>
        </m:sSubSup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e>
        </m:nary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m:rPr>
            <m:sty m:val="p"/>
          </m:rPr>
          <w:rPr>
            <w:rFonts w:ascii="Cambria Math" w:hAnsi="Cambria Math"/>
          </w:rPr>
          <m:t xml:space="preserve"> 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</m:oMath>
      <w:r>
        <w:tab/>
        <w:t>(23)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т.е. минимизировался откат при гашении колебаний не хуже, чем у равномерной схемы (метод Нелдера–Мида, 70 прямых расчётов). При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= 30 кН получено </w:t>
      </w:r>
      <m:oMath>
        <m:r>
          <m:rPr>
            <m:sty m:val="b"/>
          </m:rPr>
          <w:rPr>
            <w:rFonts w:ascii="Cambria Math" w:hAnsi="Cambria Math"/>
          </w:rPr>
          <m:t xml:space="preserve">w</m:t>
        </m:r>
      </m:oMath>
      <w:r>
        <w:rPr>
          <w:b w:val="0"/>
          <w:i w:val="0"/>
        </w:rPr>
        <w:t xml:space="preserve"> = (0,56; 0,01; 0,43; 0; 0) и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полн</m:t>
            </m:r>
          </m:sub>
        </m:sSub>
      </m:oMath>
      <w:r>
        <w:rPr>
          <w:b w:val="0"/>
          <w:i w:val="0"/>
        </w:rPr>
        <w:t xml:space="preserve"> = 16,2 мм вместо 18,3 мм (−11,5 %). При 60 кН получено </w:t>
      </w:r>
      <m:oMath>
        <m:r>
          <m:rPr>
            <m:sty m:val="b"/>
          </m:rPr>
          <w:rPr>
            <w:rFonts w:ascii="Cambria Math" w:hAnsi="Cambria Math"/>
          </w:rPr>
          <m:t xml:space="preserve">w</m:t>
        </m:r>
      </m:oMath>
      <w:r>
        <w:rPr>
          <w:b w:val="0"/>
          <w:i w:val="0"/>
        </w:rPr>
        <w:t xml:space="preserve"> = (0,48; 0,18; 0,32; 0,01; 0,01) и 13,2 мм вместо 14,1 мм (−6,3 %). Оптимум сочетает пучность S1 (гашение) и узел S3 (остановка отката) в соответствии с (17)–(19). Распределение, найденное для 60 кН, сохраняет преимущество во всём диапазоне 10–200 кН (рисунок 10). При 60 кН усилия пар составляют 28,9; 10,9 и 19,0 кН. Для </w:t>
      </w:r>
      <m:oMath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= 0,8…0,3 это соответствует сжатию пакетов на S1 1,06–2,83 мм, на S2 0,40–1,07 мм, на S3 0,70–1,86 мм, т.е. не более 0,67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′</m:t>
        </m:r>
      </m:oMath>
      <w:r>
        <w:rPr>
          <w:b w:val="0"/>
          <w:i w:val="0"/>
        </w:rPr>
        <w:t>. Точные уставки требуют калибровки.</w:t>
      </w:r>
    </w:p>
    <w:p>
      <w:pPr>
        <w:keepNext/>
        <w:spacing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973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h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b w:val="0"/>
          <w:i w:val="0"/>
          <w:sz w:val="22"/>
        </w:rPr>
        <w:t>Рисунок 12 – Временные процессы: а — перемещение форкамеры до 600 мс; б — усилие в стыке ПС3–ФК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Энергетически при 100 кН тормоза поглощают 5,1 кДж из 11,9 кДж работы нагрузок (43 %), при 30 кН — 2,2 кДж (19 %), при рекомендуемой схеме и 60 кН — 3,6 кДж (31 %). Остальное рассеивается в конструкции и опорах. При усилиях выше ≈ 50 кН основная роль тормозов — гашение колебаний.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8. Обсуждение и ограничения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Основные количественные результаты и способ их проверки сведены в таблицу 8.</w:t>
      </w:r>
    </w:p>
    <w:p>
      <w:pPr>
        <w:keepNext/>
        <w:spacing w:before="80" w:after="40" w:line="240" w:lineRule="auto"/>
        <w:ind w:firstLine="0"/>
        <w:jc w:val="left"/>
      </w:pPr>
      <w:r>
        <w:rPr>
          <w:b w:val="0"/>
          <w:i w:val="0"/>
          <w:sz w:val="22"/>
        </w:rPr>
        <w:t>Таблица 8 – Основные результаты и способ их проверки</w:t>
      </w:r>
    </w:p>
    <w:tbl>
      <w:tblPr>
        <w:tblStyle w:val="TableGrid"/>
        <w:tblW w:type="auto" w:w="0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firstColumn="1" w:firstRow="1" w:lastColumn="0" w:lastRow="0" w:noHBand="0" w:noVBand="1" w:val="04A0"/>
      </w:tblPr>
      <w:tblGrid>
        <w:gridCol w:w="3005"/>
        <w:gridCol w:w="3345"/>
        <w:gridCol w:w="3288"/>
      </w:tblGrid>
      <w:tr>
        <w:trPr>
          <w:cantSplit/>
          <w:tblHeader/>
        </w:trPr>
        <w:tc>
          <w:tcPr>
            <w:tcW w:type="dxa" w:w="3005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8"/>
              </w:rPr>
              <w:t>Результат</w:t>
            </w:r>
          </w:p>
        </w:tc>
        <w:tc>
          <w:tcPr>
            <w:tcW w:type="dxa" w:w="3345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18"/>
              </w:rPr>
              <w:t>Метод / независимая проверка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Масса подвижной части, центр масс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 xml:space="preserve">17 911 кг;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oMath>
            <w:r>
              <w:rPr>
                <w:b w:val="0"/>
                <w:i w:val="0"/>
                <w:sz w:val="18"/>
              </w:rPr>
              <w:t xml:space="preserve"> = 14,51 м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суммирование по 1789 деталям 3D-модели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Первая продольная частота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 xml:space="preserve">69,0 Гц (жёсткие стыки); 64,2 Гц при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rPr>
                <w:b w:val="0"/>
                <w:i w:val="0"/>
                <w:sz w:val="18"/>
              </w:rPr>
              <w:t xml:space="preserve"> = 12–28 ГН/м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КЭ-модель (7), (8); эксперимент 64,18 ± 0,04 Гц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Затухание первой формы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α</m:t>
              </m:r>
            </m:oMath>
            <w:r>
              <w:rPr>
                <w:b w:val="0"/>
                <w:i w:val="0"/>
                <w:sz w:val="18"/>
              </w:rPr>
              <w:t xml:space="preserve"> = 5,98 ± 0,24 с⁻¹, </w:t>
            </w:r>
            <m:oMath>
              <m:r>
                <w:rPr>
                  <w:rFonts w:ascii="Cambria Math" w:hAnsi="Cambria Math"/>
                </w:rPr>
                <m:t xml:space="preserve">ζ</m:t>
              </m:r>
            </m:oMath>
            <w:r>
              <w:rPr>
                <w:b w:val="0"/>
                <w:i w:val="0"/>
                <w:sz w:val="18"/>
              </w:rPr>
              <w:t xml:space="preserve"> = 0,0148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модель (1)–(2), опыт 1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Асимметрия полупериодов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1,50 мс (расчёт), 1,65 мс (опыт)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формула (5)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Полный откат без тормозов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35–50 мм (к 200 мс — 23 мм)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модель (10)–(12); дрейф 0,085 м/с при 200 мс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Импульсы нагрузки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oMath>
            <w:r>
              <w:rPr>
                <w:b w:val="0"/>
                <w:i w:val="0"/>
                <w:sz w:val="18"/>
              </w:rPr>
              <w:t xml:space="preserve"> = 12,5 кН·с,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oMath>
            <w:r>
              <w:rPr>
                <w:b w:val="0"/>
                <w:i w:val="0"/>
                <w:sz w:val="18"/>
              </w:rPr>
              <w:t xml:space="preserve"> = 10,5 кН·с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идентификация (12); отметка D1, момент вылета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Жёсткость тормоза по нормальной силе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17,0 кН на 1 мм сжатия пакетов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формулы (13)–(15)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Эффективное усилие в опытах 2–3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30–37 кН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прямое моделирование при одинаковом нагружении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Усилие в стыке ПС3–ФК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3,1 МН; добавка от тормозов ≤ 0,7 %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модель (20)–(22)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18"/>
              </w:rPr>
              <w:t>Рекомендуемое распределение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 xml:space="preserve">S1 : S2 : S3 ≈ 0,48 : 0,18 : 0,32 при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Σ</m:t>
                  </m:r>
                </m:sub>
              </m:sSub>
            </m:oMath>
            <w:r>
              <w:rPr>
                <w:b w:val="0"/>
                <w:i w:val="0"/>
                <w:sz w:val="18"/>
              </w:rPr>
              <w:t xml:space="preserve"> ≥ 60 кН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задача (23); энергобаланс ≤ 5·10⁻⁴</w:t>
            </w:r>
          </w:p>
        </w:tc>
      </w:tr>
    </w:tbl>
    <w:p>
      <w:pPr>
        <w:spacing w:after="40" w:line="192" w:lineRule="auto"/>
      </w:pPr>
    </w:p>
    <w:p>
      <w:pPr>
        <w:spacing w:before="0" w:after="0"/>
        <w:ind w:firstLine="567"/>
        <w:jc w:val="both"/>
      </w:pPr>
      <w:r>
        <w:rPr>
          <w:b w:val="0"/>
          <w:i w:val="0"/>
        </w:rPr>
        <w:t>Ограничения работы: 1) массы определены по 3D-модели при принятой плотности; 2) модель одномерная продольная, поперечно-поворотная составляющая (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</m:oMath>
      <w:r>
        <w:rPr>
          <w:b w:val="0"/>
          <w:i w:val="0"/>
        </w:rPr>
        <w:t xml:space="preserve">) и изгиб не описываются; 3) нагрузки эквивалентные, а не измеренные давления; 4) коэффициенты трения не определялись, принят закон Кулона с постоянным </w:t>
      </w:r>
      <m:oMath>
        <m:r>
          <w:rPr>
            <w:rFonts w:ascii="Cambria Math" w:hAnsi="Cambria Math"/>
          </w:rPr>
          <m:t xml:space="preserve">μ</m:t>
        </m:r>
      </m:oMath>
      <w:r>
        <w:rPr>
          <w:b w:val="0"/>
          <w:i w:val="0"/>
        </w:rPr>
        <w:t>; 5) для опытов 2–3 использованы только максимальные значения, каждая конфигурация испытана одним выстрелом.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Для проверки выводов рекомендуется следующая программа: статическая тарировка «деления — нормальная сила» динамометром и протяжка тормоза для определения </w:t>
      </w:r>
      <m:oMath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; запись не короче 0,8 с; не менее трёх выстрелов на конфигурацию с контролем импульса (давление D1); дополнительные марки у S1, S3, S5 и у дульного среза для измерения формы колебаний; две конфигурации — равномерная (5 пар) и рекомендуемая (S1–S3) — при </w:t>
      </w:r>
      <m:oMath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≈ 60 кН.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Заключение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1. Построена прослеживаемая модель установки по 3D-модели: масса подвижной части 17 911 кг, центр масс при </w:t>
      </w:r>
      <m:oMath>
        <m:r>
          <w:rPr>
            <w:rFonts w:ascii="Cambria Math" w:hAnsi="Cambria Math"/>
          </w:rPr>
          <m:t xml:space="preserve">z</m:t>
        </m:r>
      </m:oMath>
      <w:r>
        <w:rPr>
          <w:b w:val="0"/>
          <w:i w:val="0"/>
        </w:rPr>
        <w:t xml:space="preserve"> = 14,51 м, распределения </w:t>
      </w:r>
      <m:oMath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′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 xml:space="preserve"> и </w:t>
      </w:r>
      <m:oMath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)</m:t>
        </m:r>
      </m:oMath>
      <w:r>
        <w:rPr>
          <w:b w:val="0"/>
          <w:i w:val="0"/>
        </w:rPr>
        <w:t>. Одномерная КЭ-модель независимо от эксперимента даёт первую продольную частоту 69,0 Гц при жёстких стыках. Измеренные 64,18 ± 0,04 Гц и коэффициент передачи на базе марок воспроизводятся при жёсткости стыков 12–28 ГН/м. Наблюдаемые колебания — первая продольная форма всей установки с узлом у муфты ПС2–ПС3.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2. Обработка опыта 1 дала </w:t>
      </w:r>
      <m:oMath>
        <m:r>
          <w:rPr>
            <w:rFonts w:ascii="Cambria Math" w:hAnsi="Cambria Math"/>
          </w:rPr>
          <m:t xml:space="preserve">α</m:t>
        </m:r>
      </m:oMath>
      <w:r>
        <w:rPr>
          <w:b w:val="0"/>
          <w:i w:val="0"/>
        </w:rPr>
        <w:t xml:space="preserve"> = 5,98 ± 0,24 с⁻¹ и </w:t>
      </w:r>
      <m:oMath>
        <m:r>
          <w:rPr>
            <w:rFonts w:ascii="Cambria Math" w:hAnsi="Cambria Math"/>
          </w:rPr>
          <m:t xml:space="preserve">ζ</m:t>
        </m:r>
      </m:oMath>
      <w:r>
        <w:rPr>
          <w:b w:val="0"/>
          <w:i w:val="0"/>
        </w:rPr>
        <w:t xml:space="preserve"> = 0,0148 ± 0,0006. Асимметрия полупериодов объяснена наложением колебаний на дрейф. Установлено, что к 200 мс откат не завершён: 23 мм — перемещение к концу записи, расчётный полный откат составляет 35–50 мм.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3. Восстановлены эквивалентные газодинамические импульсы 12,5 кН·с (казённая часть, начало 47,9 мс, совпадает с отметкой D1) и 10,5 кН·с (форкамера, максимум у момента вылета). Остаточный импульс около 2 кН·с — малая разность больших величин. Поэтому одиночные выстрелы не позволяют отделить эффект тормозов от разброса нагружения на уровне 6–7 % импульса.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4. Штатный тормоз развивает нормальную силу 17,0 кН на 1 мм сжатия пакетов, его тормозная способность при </w:t>
      </w:r>
      <m:oMath>
        <m:r>
          <w:rPr>
            <w:rFonts w:ascii="Cambria Math" w:hAnsi="Cambria Math"/>
          </w:rPr>
          <m:t xml:space="preserve">s</m:t>
        </m:r>
      </m:oMath>
      <w:r>
        <w:rPr>
          <w:b w:val="0"/>
          <w:i w:val="0"/>
        </w:rPr>
        <w:t xml:space="preserve"> = 0,5</w:t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′</m:t>
        </m:r>
      </m:oMath>
      <w:r>
        <w:rPr>
          <w:b w:val="0"/>
          <w:i w:val="0"/>
        </w:rPr>
        <w:t xml:space="preserve"> составляет 103–276 кН на установку (</w:t>
      </w:r>
      <m:oMath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</m:oMath>
      <w:r>
        <w:rPr>
          <w:b w:val="0"/>
          <w:i w:val="0"/>
        </w:rPr>
        <w:t xml:space="preserve"> = 0,3–0,8). В опытах 2–3 эффективное усилие (при одинаковом нагружении) составило 30–37 кН, т.е. пакеты были сжаты лишь на 0,2–0,7 мм.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5. Получены коэффициенты (17)–(19) эффективности сухого трения при наложении колебаний на откат. Станция в узле первой формы (S3) эффективна для остановки отката, станции в пучностях (S1, S5) — для гашения колебаний. Эти коэффициенты служат физически обоснованным критерием выбора мест установки тормозов.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 xml:space="preserve">6. Тормоза не увеличивают усилие в стыке ПС3–ФК: квазистатическая добавка (22) не превышает 0,7 % динамического усилия 3,1 МН, а гашение колебаний снижает его до 12 %. Рост </w:t>
      </w:r>
      <m:oMath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b w:val="0"/>
          <w:i w:val="0"/>
        </w:rPr>
        <w:t xml:space="preserve"> в опытах 2–3 следует связывать с разбросом нагружения и контактными явлениями в соединении.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7. Прямым моделированием с энергобалансом обоснована схема затяжки S1 : S2 : S3 ≈ 0,48 : 0,18 : 0,32 при суммарном усилии не менее 60 кН. Она уменьшает полный откат на 6–12 % относительно равномерной схемы при том же гашении колебаний, а при 60–100 кН ограничивает откат 11–13 мм. Схема имеет статус расчётной рекомендации и подлежит проверке по предложенной программе испытаний.</w:t>
      </w:r>
    </w:p>
    <w:p>
      <w:pPr>
        <w:keepNext/>
        <w:spacing w:before="200" w:after="80"/>
        <w:ind w:firstLine="0"/>
        <w:jc w:val="left"/>
      </w:pPr>
      <w:r>
        <w:rPr>
          <w:b/>
          <w:i w:val="0"/>
        </w:rPr>
        <w:t>Список литературы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1. Серебряков М. Е. Внутренняя баллистика ствольных систем и пороховых ракет. — 3-е изд., перераб. и доп. — М.: Оборонгиз, 1962. — 703 с.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2. Seigel A. E. The theory of high speed guns. — AGARDograph 91. — Paris: NATO AGARD, 1965.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3. Crozier W. D., Hume W. High-velocity, light-gas gun // Journal of Applied Physics. — 1957. — Vol. 28, No. 8. — P. 892–894.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4. Бидерман В. Л. Теория механических колебаний. — М.: Высшая школа, 1980. — 408 с.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5. Пановко Я. Г., Губанова И. И. Устойчивость и колебания упругих систем. — М.: Наука, 1979. — 384 с.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6. Den Hartog J. P. Forced vibrations with combined Coulomb and viscous friction // Transactions of the ASME. — 1931. — Vol. 53. — P. 107–115.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7. Крагельский И. В., Добычин М. Н., Комбалов В. С. Основы расчётов на трение и износ. — М.: Машиностроение, 1977.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8. Olsson H., Åström K. J., Canudas de Wit C., Gäfvert M., Lischinsky P. Friction models and friction compensation // European Journal of Control. — 1998. — Vol. 4, No. 3. — P. 176–195.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9. Almen J. O., László A. The uniform-section disk spring // Transactions of the ASME. — 1936. — Vol. 58. — P. 305–314.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10. ГОСТ 3057-90. Пружины тарельчатые. Общие технические условия.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11. EN 16984:2017. Disc springs — Calculation.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12. Bathe K.-J. Finite element procedures. — Englewood Cliffs: Prentice Hall, 1996.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13. Clough R. W., Penzien J. Dynamics of structures. — 2nd ed. — New York: McGraw-Hill, 1993.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14. Ewins D. J. Modal testing: theory, practice and application. — 2nd ed. — Baldock: Research Studies Press, 2000.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15. Sutton M. A., Orteu J.-J., Schreier H. W. Image correlation for shape, motion and deformation measurements. — New York: Springer, 2009.</w:t>
      </w:r>
    </w:p>
    <w:p>
      <w:pPr>
        <w:spacing w:before="0" w:after="0" w:line="240" w:lineRule="auto"/>
        <w:ind w:firstLine="0"/>
        <w:jc w:val="both"/>
      </w:pPr>
      <w:r>
        <w:rPr>
          <w:b w:val="0"/>
          <w:i w:val="0"/>
          <w:sz w:val="21"/>
        </w:rPr>
        <w:t>16. Вибрации в технике: справочник: в 6 т. / под ред. В. Н. Челомея. — М.: Машиностроение, 1978–1981.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autoHyphenation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