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ind w:firstLine="0"/>
        <w:jc w:val="center"/>
      </w:pPr>
      <w:r>
        <w:rPr>
          <w:b/>
          <w:i w:val="0"/>
          <w:sz w:val="26"/>
        </w:rPr>
        <w:t>ВЛИЯНИЕ РЕГУЛИРУЕМЫХ ФРИКЦИОННЫХ ТОРМОЗОВ НА КИНЕМАТИКУ ЛЕГКОГАЗОВОЙ ПУШКИ 50-ММ КАЛИБРА: СКОРОСТНАЯ ВИДЕОРЕГИСТРАЦИЯ, ИДЕНТИФИКАЦИЯ ПО 3D-МОДЕЛИ И РАСЧЁТНОЕ ОБОСНОВАНИЕ СХЕМЫ ТОРМОЖЕНИЯ</w:t>
      </w:r>
    </w:p>
    <w:p>
      <w:pPr>
        <w:spacing w:before="0" w:after="160"/>
        <w:ind w:firstLine="0"/>
        <w:jc w:val="center"/>
      </w:pPr>
      <w:r>
        <w:rPr>
          <w:b w:val="0"/>
          <w:i/>
        </w:rPr>
        <w:t>ФГУП «РФЯЦ-ВНИИЭФ», г. Саров Нижегородской обл.</w:t>
      </w:r>
    </w:p>
    <w:p>
      <w:pPr>
        <w:spacing w:before="0" w:after="80" w:line="240" w:lineRule="auto"/>
        <w:ind w:firstLine="0"/>
        <w:jc w:val="both"/>
      </w:pPr>
      <w:r>
        <w:rPr>
          <w:b/>
          <w:i w:val="0"/>
          <w:sz w:val="22"/>
        </w:rPr>
        <w:t>Аннотация.</w:t>
      </w:r>
      <w:r>
        <w:rPr>
          <w:b w:val="0"/>
          <w:i w:val="0"/>
          <w:sz w:val="22"/>
        </w:rPr>
        <w:t xml:space="preserve"> По данным скоростной видеорегистрации трёх выстрелов и 3D-модели установки (1789 деталей) исследовано влияние регулируемых фрикционных тормозов на откат и продольные колебания легкогазовой пушки 50-мм калибра. По 3D-модели определены масса подвижной части 17,91 т, центр масс, распределения массы и осевой жёсткости; построена конечно-элементная модель, независимо дающая первую продольную частоту 69,0 Гц при жёстких стыках. Измеренные 64,18 ± 0,04 Гц воспроизводятся при жёсткости фланцевых стыков 12–28 ГН/м. Показано, что асимметрия полупериодов колебаний вызвана наложением колебаний на незавершённый откат, а 23 мм в опыте 1 — перемещение к концу записи (расчётный полный откат 35–50 мм). Восстановлены эквивалентные газодинамические импульсы 12,5 и 10,5 кН·с. По формулам Альмена–Ласло определена тормозная способность штатного тормоза. Эффективное усилие торможения в опытах 2–3 (при одинаковом нагружении) составило 30–37 кН, что на два порядка меньше усилия в стыке ПС3–ФК (≈ 3,1 МН), поэтому тормоза не могут быть причиной роста раскрытия стыка. Получены коэффициенты эффективности сухого трения при наложении колебаний на откат: станции у узла первой формы эффективны для остановки отката, станции в пучностях — для гашения колебаний. Прямым моделированием с контролем энергобаланса обоснована затяжка S1 : S2 : S3 ≈ 0,48 : 0,18 : 0,32, уменьшающая откат на 6–12 % при том же гашении колебаний.</w:t>
      </w:r>
    </w:p>
    <w:p>
      <w:pPr>
        <w:spacing w:before="0" w:after="120" w:line="240" w:lineRule="auto"/>
        <w:ind w:firstLine="0"/>
        <w:jc w:val="both"/>
      </w:pPr>
      <w:r>
        <w:rPr>
          <w:b/>
          <w:i w:val="0"/>
          <w:sz w:val="22"/>
        </w:rPr>
        <w:t>Ключевые слова:</w:t>
      </w:r>
      <w:r>
        <w:rPr>
          <w:b w:val="0"/>
          <w:i w:val="0"/>
          <w:sz w:val="22"/>
        </w:rPr>
        <w:t xml:space="preserve"> легкогазовая пушка, фрикционный тормоз, тарельчатая пружина, скоростная видеорегистрация, продольные колебания, конечно-элементная модель, идентификация нагрузки, сухое трение, размещение тормозов.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Введение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При выстреле двухступенчатой легкогазовой пушки газодинамическая нагрузка прикладывается к секциям установки последовательно: давление пороховых газов действует на казённую часть и разгоняет поршень, затем торможение поршня в сжатом лёгком газе нагружает конический переход форкамеры, после чего метаемое тело разгоняется в баллистическом стволе и истекающий газ создаёт реактивную силу [1–3]. Поэтому установка длиной более 30 м не является абсолютно жёстким телом: на откат накладываются продольные колебания секций и относительные перемещения во фланцевых соединениях [4, 5, 13].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Регулируемые фрикционные тормоза ограничивают откат за счёт сухого трения о рельсовую направляющую [6–8]. Для многосекционной установки важны не только суммарная тормозная сила, но и места её приложения. При выборе размещения необходимо учитывать три обстоятельства. Во-первых, тормоза скользят по неподвижному рельсу и реагируют на абсолютную скорость точки крепления, а не на относительную скорость соседних секций. Во-вторых, жёсткость редуцированной модели, определённая по измеренному периоду, не может служить независимой проверкой: нужна модель, построенная по геометрии установки. В-третьих, при конечной длительности записи откат может быть не завершён, и максимальное зарегистрированное перемещение не совпадает с полным откатом.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Цель настоящей работы — построить прослеживаемую цепочку «3D-модель → массы и жёсткости → конечно-элементная модель → независимая проверка по эксперименту → идентификация нагрузки → механика тормоза → сравнение схем размещения», в которой каждое звено проверяется отдельно, и на этой основе обосновать схему размещения и относительные уровни затяжки тормозов.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1. Объект исследования и исходные данные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1.1. Установка и её 3D-модель.</w:t>
      </w:r>
      <w:r>
        <w:rPr>
          <w:b w:val="0"/>
          <w:i w:val="0"/>
        </w:rPr>
        <w:t xml:space="preserve"> Установка (рисунок 1, а) включает затвор, зарядную камеру (ЗК), три секции поршневой трубы (ПС1–ПС3) с межсекционными муфтами, форкамеру (ФК) и две секции баллистического ствола (БТ1, БТ2). Ствольная линия длиной 32,0 м (от затвора до надульника) опирается на десять подкатных тележек и колёсные хомуты, катящиеся по двум рельсам Р65 с фрезерованной головкой. Диаметр канала составляет 200–234 мм в зарядной камере, 125 мм в поршневой трубе и 50 мм в стволе. Материальные свойства в STEP-файле отсутствуют, поэтому массы вычислены по объёмам деталей при плотности </w:t>
      </w:r>
      <m:oMath>
        <m:r>
          <w:rPr>
            <w:rFonts w:ascii="Cambria Math" w:hAnsi="Cambria Math"/>
          </w:rPr>
          <m:t xml:space="preserve">ρ</m:t>
        </m:r>
      </m:oMath>
      <w:r>
        <w:rPr>
          <w:b w:val="0"/>
          <w:i w:val="0"/>
        </w:rPr>
        <w:t xml:space="preserve"> = 7850 кг/м³; это допущение используется во всех последующих расчётах. Раскладка узлов вдоль оси показана на рисунке 2, массы — в таблице 2.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9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9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1 – Экспериментальный объект: а — общий вид легкогазовой пушки 50-мм калибра; б — кадр скоростной съёмки с марками на фланце ПС3, форкамере и рельсовой направляющей (37 458 кадр/с, экспозиция 10 мкс)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5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d_s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2 – Вид сбоку по 3D-модели: узлы установки, фланцевые стыки и тормозные станции S1–S5 (цвета: ЗК — зелёный, ПС — фиолетовый, ФК — синий, БТ — оранжевый, муфты — бирюзовый, тормоза — красный)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В 3D-модели предусмотрено пять тормозных станций S1–S5, на каждой — пара тормозов (левый и правый). Каждый тормоз соединён осью М24 и тягой с хомутом соответствующего узла: зарядной камеры (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2,96 м), муфты ПС1–ПС2 (9,02 м), муфты ПС2–ПС3 (14,52 м), форкамеры (21,36 м) и муфты БТ1–БТ2 (27,23 м). Координата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отсчитывается от торца рельса, направление выстрела — положительное. Конструкция тормоза показана на рисунке 3: фрикционная пластина 203 × 50 мм прижимается к фрезерованной поверхности головки рельса тремя упругими элементами; реакция замыкается через два захвата, охватывающих головку снизу. Каждый упругий элемент содержит пакет из шести последовательно установленных тарельчатых пружин 32 × 14 × 3,0 × 0,7 по ГОСТ 3057-90 [10]; усилие задаётся гайкой на штоке. По кромкам модели уточнены размеры пружины: </w:t>
      </w:r>
      <m:oMath>
        <m:r>
          <w:rPr>
            <w:rFonts w:ascii="Cambria Math" w:hAnsi="Cambria Math"/>
          </w:rPr>
          <m:t xml:space="preserve">D</m:t>
        </m:r>
      </m:oMath>
      <w:r>
        <w:rPr>
          <w:b w:val="0"/>
          <w:i w:val="0"/>
        </w:rPr>
        <w:t xml:space="preserve"> = 32 мм, </w:t>
      </w:r>
      <m:oMath>
        <m:r>
          <w:rPr>
            <w:rFonts w:ascii="Cambria Math" w:hAnsi="Cambria Math"/>
          </w:rPr>
          <m:t xml:space="preserve">d</m:t>
        </m:r>
      </m:oMath>
      <w:r>
        <w:rPr>
          <w:b w:val="0"/>
          <w:i w:val="0"/>
        </w:rPr>
        <w:t xml:space="preserve"> = 14 мм, толщина с учётом опорных плоскостей </w:t>
      </w:r>
      <m:oMath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= 2,94 мм, свободная высота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= 3,64 мм,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= 0,70 мм.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260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ra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3 – Тормозная станция на муфте поршневых труб (S2, S3): а — муфта с хомутами, тяга и тормоз на рельсе (3D-модель); б — поперечное сечение тормоза по пакету пружин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1.2. Эксперимент.</w:t>
      </w:r>
      <w:r>
        <w:rPr>
          <w:b w:val="0"/>
          <w:i w:val="0"/>
        </w:rPr>
        <w:t xml:space="preserve"> Рассмотрены три выстрела (таблица 1). В опыте 1 распределённые тормозные пары не применялись, откат компенсировался со стороны зарядной камеры; в опытах 2 и 3 штатные тормозные пары работали на узлах установки. Скоростная съёмка (37 458 кадр/с, экспозиция 10 мкс) велась 0–200 мс после импульса поджига. Регистрировались перемещение марки форкамеры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относительно неподвижной марки на рельсе и изменение базы между марками на фланце ПС3 и форкамере (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— вдоль оси,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b w:val="0"/>
          <w:i w:val="0"/>
        </w:rPr>
        <w:t xml:space="preserve"> — поперёк), исходная база 109,44 мм [15].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1 – Условия опытов и максимальные значения, полученные по видеорегистрации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793"/>
        <w:gridCol w:w="4649"/>
        <w:gridCol w:w="1360"/>
        <w:gridCol w:w="1360"/>
        <w:gridCol w:w="1360"/>
      </w:tblGrid>
      <w:tr>
        <w:trPr>
          <w:cantSplit/>
          <w:tblHeader/>
        </w:trPr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Опыт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Условия торможения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ФК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мм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X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мм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Y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мм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распределённые пары не применялись; компенсация отката со стороны ЗК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23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0,81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0,40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46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штатные тормозные пары на узлах установки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18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1,10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штатные тормозные пары на узлах установки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1,20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1,40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>Временная зависимость приведена только для опыта 1 (рисунок 4); для опытов 2 и 3 известны лишь максимальные значения.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2. Обработка экспериментальной записи опыта 1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2.1. Исходные данные.</w:t>
      </w:r>
      <w:r>
        <w:rPr>
          <w:b w:val="0"/>
          <w:i w:val="0"/>
        </w:rPr>
        <w:t xml:space="preserve"> Обрабатывались зависимости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и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опыта 1 (рисунок 4), полученные при съёмке с частотой 37 458 кадр/с. Времена 18 последовательных экстремумов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(67,13–196,71 мс) использованы для анализа полупериодов, вся зависимость на интервале 45–198 мс — для идентификации моделей (разделы 2.2 и 4).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973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97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 xml:space="preserve">Рисунок 4 – Опыт 1: перемещение форкамеры </w:t>
      </w:r>
      <m:oMath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  <m:sup>
            <m:r>
              <w:rPr>
                <w:rFonts w:ascii="Cambria Math" w:hAnsi="Cambria Math"/>
              </w:rPr>
              <m:t xml:space="preserve">∗</m:t>
            </m:r>
          </m:sup>
        </m:sSubSup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  <w:sz w:val="22"/>
        </w:rPr>
        <w:t xml:space="preserve"> и десятикратно увеличенное изменение базы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  <w:sz w:val="22"/>
        </w:rPr>
        <w:t xml:space="preserve"> между марками ПС3–ФК; отмечены времена экстремумов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  <w:sz w:val="22"/>
        </w:rPr>
        <w:t>–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19</m:t>
            </m:r>
          </m:sub>
        </m:sSub>
      </m:oMath>
      <w:r>
        <w:rPr>
          <w:b w:val="0"/>
          <w:i w:val="0"/>
          <w:sz w:val="22"/>
        </w:rPr>
        <w:t>, отметка D1 и момент вылета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2.2. Модель «дрейф + собственная форма».</w:t>
      </w:r>
      <w:r>
        <w:rPr>
          <w:b w:val="0"/>
          <w:i w:val="0"/>
        </w:rPr>
        <w:t xml:space="preserve"> После вылета метаемого тела (</w:t>
      </w:r>
      <m:oMath>
        <m:r>
          <w:rPr>
            <w:rFonts w:ascii="Cambria Math" w:hAnsi="Cambria Math"/>
          </w:rPr>
          <m:t xml:space="preserve">t</m:t>
        </m:r>
      </m:oMath>
      <w:r>
        <w:rPr>
          <w:b w:val="0"/>
          <w:i w:val="0"/>
        </w:rPr>
        <w:t xml:space="preserve"> &gt; 72 мс) запись описывается суммой медленного дрейфа (продолжающегося отката) и затухающей гармоники: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α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cos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ω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φ</m:t>
            </m:r>
          </m:e>
        </m:d>
        <m:r>
          <w:rPr>
            <w:rFonts w:ascii="Cambria Math" w:hAnsi="Cambria Math"/>
          </w:rPr>
          <m:t xml:space="preserve">,</m:t>
        </m:r>
      </m:oMath>
      <w:r>
        <w:tab/>
        <w:t>(1)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sSup>
              <m:e>
                <m:r>
                  <w:rPr>
                    <w:rFonts w:ascii="Cambria Math" w:hAnsi="Cambria Math"/>
                  </w:rPr>
                  <m:t xml:space="preserve">)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(2)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ζ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α</m:t>
            </m:r>
          </m:num>
          <m:den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ω</m:t>
            </m:r>
          </m:num>
          <m:den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π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(3)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= 72 мс;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a</m:t>
        </m:r>
      </m:oMath>
      <w:r>
        <w:rPr>
          <w:b w:val="0"/>
          <w:i w:val="0"/>
        </w:rPr>
        <w:t xml:space="preserve"> — положение, скорость и ускорение дрейфа; </w:t>
      </w:r>
      <m:oMath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φ</m:t>
        </m:r>
      </m:oMath>
      <w:r>
        <w:rPr>
          <w:b w:val="0"/>
          <w:i w:val="0"/>
        </w:rPr>
        <w:t xml:space="preserve"> — амплитуда, показатель затухания, круговая частота и фаза. Параметры найдены методом наименьших квадратов на интервале 72–198 мс (таблица 3, рисунок 5, а). В остатке выделяется низкочастотная составляющая около 18 Гц с амплитудой 0,8 мм; её учёт вторым слагаемым снижает СКО невязки с 0,33 до 0,14 мм и меняет </w:t>
      </w:r>
      <m:oMath>
        <m:r>
          <w:rPr>
            <w:rFonts w:ascii="Cambria Math" w:hAnsi="Cambria Math"/>
          </w:rPr>
          <m:t xml:space="preserve">f</m:t>
        </m:r>
      </m:oMath>
      <w:r>
        <w:rPr>
          <w:b w:val="0"/>
          <w:i w:val="0"/>
        </w:rPr>
        <w:t xml:space="preserve"> на 0,1 %, а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 — на 5 %. Физическая природа этой составляющей по одной марке не устанавливается.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2 – Параметры колебательного процесса опыта 1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4195"/>
        <w:gridCol w:w="2721"/>
        <w:gridCol w:w="2721"/>
      </w:tblGrid>
      <w:tr>
        <w:trPr>
          <w:cantSplit/>
          <w:tblHeader/>
        </w:trPr>
        <w:tc>
          <w:tcPr>
            <w:tcW w:type="dxa" w:w="419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Параметр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Модель (1)–(2)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Двухкомпонентная модель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Частота </w:t>
            </w:r>
            <m:oMath>
              <m:r>
                <w:rPr>
                  <w:rFonts w:ascii="Cambria Math" w:hAnsi="Cambria Math"/>
                </w:rPr>
                <m:t xml:space="preserve">f</m:t>
              </m:r>
            </m:oMath>
            <w:r>
              <w:rPr>
                <w:b w:val="0"/>
                <w:i w:val="0"/>
                <w:sz w:val="19"/>
              </w:rPr>
              <w:t>, Гц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 ± 0,04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64,24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Период </w:t>
            </w:r>
            <m:oMath>
              <m:r>
                <w:rPr>
                  <w:rFonts w:ascii="Cambria Math" w:hAnsi="Cambria Math"/>
                </w:rPr>
                <m:t xml:space="preserve">T</m:t>
              </m:r>
            </m:oMath>
            <w:r>
              <w:rPr>
                <w:b w:val="0"/>
                <w:i w:val="0"/>
                <w:sz w:val="19"/>
              </w:rPr>
              <w:t>, мс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15,58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15,57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Показатель затухания </w:t>
            </w:r>
            <m:oMath>
              <m:r>
                <w:rPr>
                  <w:rFonts w:ascii="Cambria Math" w:hAnsi="Cambria Math"/>
                </w:rPr>
                <m:t xml:space="preserve">α</m:t>
              </m:r>
            </m:oMath>
            <w:r>
              <w:rPr>
                <w:b w:val="0"/>
                <w:i w:val="0"/>
                <w:sz w:val="19"/>
              </w:rPr>
              <w:t>, с⁻¹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5,98 ± 0,24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6,29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Коэффициент демпфирования </w:t>
            </w:r>
            <m:oMath>
              <m:r>
                <w:rPr>
                  <w:rFonts w:ascii="Cambria Math" w:hAnsi="Cambria Math"/>
                </w:rPr>
                <m:t xml:space="preserve">ζ</m:t>
              </m:r>
            </m:oMath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0,0148 ± 0,0006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0,0156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Скорость дрейфа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при 72 мс, м/с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−0,102 ± 0,001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−0,115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Замедление дрейфа </w:t>
            </w:r>
            <m:oMath>
              <m:r>
                <w:rPr>
                  <w:rFonts w:ascii="Cambria Math" w:hAnsi="Cambria Math"/>
                </w:rPr>
                <m:t xml:space="preserve">a</m:t>
              </m:r>
            </m:oMath>
            <w:r>
              <w:rPr>
                <w:b w:val="0"/>
                <w:i w:val="0"/>
                <w:sz w:val="19"/>
              </w:rPr>
              <w:t>, м/с²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0,13 ± 0,02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0,33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Амплитуда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, мм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2,21 ± 0,03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2,25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СКО невязки, мм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0,33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0,14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Средний период по экстремумам равен 15,48 мс (64,6 Гц) и в пределах разброса отдельных периодов (СКО 0,77 мс) согласуется с модельным значением 15,58 мс. Оценка затухания по полуразмахам соседних экстремумов даёт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 ≈ 6,9 с⁻¹, т.е. на 10–15 % больше: при наличии дрейфа полуразмахи смещены, поэтому далее используется оценка по модели (1)–(2).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2.3. Природа асимметрии полупериодов.</w:t>
      </w:r>
      <w:r>
        <w:rPr>
          <w:b w:val="0"/>
          <w:i w:val="0"/>
        </w:rPr>
        <w:t xml:space="preserve"> Средние длительности полупериодов спада и роста различаются: 8,57 и 6,92 мс. Такое различие можно принять за признак несимметричности восстанавливающей силы, однако оно следует из самой кинематики. Для </w:t>
      </w:r>
      <m:oMath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A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</m:oMath>
      <w:r>
        <w:rPr>
          <w:b w:val="0"/>
          <w:i w:val="0"/>
        </w:rPr>
        <w:t xml:space="preserve"> условие экстремума даёт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acc>
          <m:accPr>
            <m:chr m:val="̇"/>
          </m:accPr>
          <m:e>
            <m:r>
              <w:rPr>
                <w:rFonts w:ascii="Cambria Math" w:hAnsi="Cambria Math"/>
              </w:rPr>
              <m:t xml:space="preserve">X</m:t>
            </m:r>
          </m:e>
        </m:acc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w:rPr>
            <w:rFonts w:ascii="Cambria Math" w:hAnsi="Cambria Math"/>
          </w:rPr>
          <m:t xml:space="preserve">⇒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sin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d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(4)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т.е. минимумы смещаются на </w:t>
      </w:r>
      <m:oMath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 позже, а максимумы — на </w:t>
      </w:r>
      <m:oMath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 раньше положений </w:t>
      </w:r>
      <m:oMath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π</m:t>
        </m:r>
      </m:oMath>
      <w:r>
        <w:rPr>
          <w:b w:val="0"/>
          <w:i w:val="0"/>
        </w:rPr>
        <w:t xml:space="preserve"> и </w:t>
      </w:r>
      <m:oMath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π</m:t>
        </m:r>
      </m:oMath>
      <w:r>
        <w:rPr>
          <w:b w:val="0"/>
          <w:i w:val="0"/>
        </w:rPr>
        <w:t>. Отсюда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сп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4</m:t>
            </m:r>
            <m:r>
              <w:rPr>
                <w:rFonts w:ascii="Cambria Math" w:hAnsi="Cambria Math"/>
              </w:rPr>
              <m:t xml:space="preserve">β</m:t>
            </m:r>
          </m:num>
          <m:den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</w:rPr>
          <m:t xml:space="preserve">arcsin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d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.</m:t>
        </m:r>
      </m:oMath>
      <w:r>
        <w:tab/>
        <w:t>(5)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При средних за окно </w:t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>
          <w:b w:val="0"/>
          <w:i w:val="0"/>
        </w:rPr>
        <w:t xml:space="preserve"> = 0,094 м/с, </w:t>
      </w:r>
      <m:oMath>
        <m:r>
          <w:rPr>
            <w:rFonts w:ascii="Cambria Math" w:hAnsi="Cambria Math"/>
          </w:rPr>
          <m:t xml:space="preserve">A</m:t>
        </m:r>
      </m:oMath>
      <w:r>
        <w:rPr>
          <w:b w:val="0"/>
          <w:i w:val="0"/>
        </w:rPr>
        <w:t xml:space="preserve"> = 1,54 мм и </w:t>
      </w:r>
      <m:oMath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 = 403,3 рад/с получаем </w:t>
      </w:r>
      <m:oMath>
        <m:r>
          <w:rPr>
            <w:rFonts w:ascii="Cambria Math" w:hAnsi="Cambria Math"/>
          </w:rPr>
          <m:t xml:space="preserve">β</m:t>
        </m:r>
      </m:oMath>
      <w:r>
        <w:rPr>
          <w:b w:val="0"/>
          <w:i w:val="0"/>
        </w:rPr>
        <w:t xml:space="preserve"> = 0,152 рад и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сп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rPr>
          <w:b w:val="0"/>
          <w:i w:val="0"/>
        </w:rPr>
        <w:t xml:space="preserve"> = 1,50 мс. Измеренная разность составляет 1,65 мс (рисунок 5, б). Следовательно, асимметрия примерно на 90 % объясняется дрейфом и не свидетельствует о нелинейности восстанавливающей силы.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xp_p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5 – Обработка опыта 1: а — эксперимент, модель (1)–(2) и дрейф; б — длительности полупериодов и прогноз по формуле (5)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2.4. Незавершённость отката.</w:t>
      </w:r>
      <w:r>
        <w:rPr>
          <w:b w:val="0"/>
          <w:i w:val="0"/>
        </w:rPr>
        <w:t xml:space="preserve"> Скорость дрейфа к концу записи ещё составляет 0,085 м/с (рисунок 5, а). Значит, 23 мм — это перемещение к моменту 200 мс, а не полный откат. Оценка по модели раздела 4 даёт полный откат 40 мм (35–50 мм в пределах погрешности сопротивления опор) с остановкой через 0,50–0,68 с. Для сопоставления опытов корректнее использовать перемещение в фиксированный момент и скорость дрейфа.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2.5. Сигнал стыка.</w:t>
      </w:r>
      <w:r>
        <w:rPr>
          <w:b w:val="0"/>
          <w:i w:val="0"/>
        </w:rPr>
        <w:t xml:space="preserve"> Размах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= 0,81 мм (таблица 1) складывается из трёх разнородных составляющих: колебательной, синфазной с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(коэффициент корреляции 0,83, коэффициент передачи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осц</m:t>
            </m:r>
          </m:sub>
        </m:sSub>
      </m:oMath>
      <w:r>
        <w:rPr>
          <w:b w:val="0"/>
          <w:i w:val="0"/>
        </w:rPr>
        <w:t xml:space="preserve"> = 0,056) и дающей около 0,25 мм размаха; остаточного смещения около +0,1 мм после выстрела; одиночного события сжатия около −0,4 мм при 105–118 мс. Поэтому величина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объединяет упругий отклик и нерегулярные (вероятно, контактные) явления, и её изменение между опытами без разложения на составляющие интерпретировать нельзя.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3. Массово-жёсткостная модель по 3D-модели и модальный анализ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3.1. Массы.</w:t>
      </w:r>
      <w:r>
        <w:rPr>
          <w:b w:val="0"/>
          <w:i w:val="0"/>
        </w:rPr>
        <w:t xml:space="preserve"> Масса подвижной части и координата центра масс вычислены суммированием по деталям: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ρ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nary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M</m:t>
            </m:r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r>
              <w:rPr>
                <w:rFonts w:ascii="Cambria Math" w:hAnsi="Cambria Math"/>
              </w:rPr>
              <m:t xml:space="preserve">ρ</m:t>
            </m:r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nary>
        <m:r>
          <w:rPr>
            <w:rFonts w:ascii="Cambria Math" w:hAnsi="Cambria Math"/>
          </w:rPr>
          <m:t xml:space="preserve">.</m:t>
        </m:r>
      </m:oMath>
      <w:r>
        <w:tab/>
        <w:t>(6)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Получено </w:t>
      </w:r>
      <m:oMath>
        <m:r>
          <w:rPr>
            <w:rFonts w:ascii="Cambria Math" w:hAnsi="Cambria Math"/>
          </w:rPr>
          <m:t xml:space="preserve">M</m:t>
        </m:r>
      </m:oMath>
      <w:r>
        <w:rPr>
          <w:b w:val="0"/>
          <w:i w:val="0"/>
        </w:rPr>
        <w:t xml:space="preserve"> = 17 911 кг, 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b w:val="0"/>
          <w:i w:val="0"/>
        </w:rPr>
        <w:t xml:space="preserve"> = 14,51 м; центр масс расположен на 150 мм выше головки рельса. При разделении по стыку ПС3–ФК (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= 19,604 м) массы задней и передней групп равны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10 887 кг и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b w:val="0"/>
          <w:i w:val="0"/>
        </w:rPr>
        <w:t xml:space="preserve"> = 7 025 кг; эти значения используются во всех последующих расчётах.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3 – Массы узлов по 3D-модели (</w:t>
      </w:r>
      <m:oMath>
        <m:r>
          <w:rPr>
            <w:rFonts w:ascii="Cambria Math" w:hAnsi="Cambria Math"/>
          </w:rPr>
          <m:t xml:space="preserve">ρ</m:t>
        </m:r>
      </m:oMath>
      <w:r>
        <w:rPr>
          <w:b w:val="0"/>
          <w:i w:val="0"/>
          <w:sz w:val="22"/>
        </w:rPr>
        <w:t xml:space="preserve"> = 7850 кг/м³)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2608"/>
        <w:gridCol w:w="1077"/>
        <w:gridCol w:w="850"/>
        <w:gridCol w:w="2835"/>
        <w:gridCol w:w="1077"/>
        <w:gridCol w:w="850"/>
      </w:tblGrid>
      <w:tr>
        <w:trPr>
          <w:cantSplit/>
          <w:tblHeader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Узел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Масса, кг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Узел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Масса, кг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Затвор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146,3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1,06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Баллистическая труба БТ1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2197,1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24,09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Зарядная камера в сборе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2922,5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2,35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Баллистическая труба БТ2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522,1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29,92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Поршневая труба ПС1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1886,4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6,04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Муфта БТ1–БТ2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315,2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27,13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Поршневая труба ПС2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2147,6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11,63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Подкатные тележки (10 шт.)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735,7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17,70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Поршневая труба ПС3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1901,3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17,23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Фрикционные тормоза (10 шт.)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98,2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15,44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Муфты ПС1–ПС2, ПС2–ПС3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1389,7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11,63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Люнеты (2 шт.)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49,9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31,32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Форкамера в сборе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3492,0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20,76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Прочие детали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107,6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17,03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i w:val="0"/>
                <w:sz w:val="19"/>
              </w:rPr>
              <w:t>Задняя группа</w:t>
            </w:r>
            <w:r>
              <w:rPr>
                <w:b w:val="0"/>
                <w:i w:val="0"/>
                <w:sz w:val="19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(</w:t>
            </w:r>
            <m:oMath>
              <m:r>
                <w:rPr>
                  <w:rFonts w:ascii="Cambria Math" w:hAnsi="Cambria Math"/>
                </w:rPr>
                <m:t xml:space="preserve">z</m:t>
              </m:r>
              <m:r>
                <w:rPr>
                  <w:rFonts w:ascii="Cambria Math" w:hAnsi="Cambria Math"/>
                </w:rPr>
                <m:t xml:space="preserve">&lt;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10 886,8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Итого</w:t>
            </w:r>
            <w:r>
              <w:rPr>
                <w:b w:val="0"/>
                <w:i w:val="0"/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 xml:space="preserve">M</m:t>
              </m:r>
            </m:oMath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17 911,5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14,51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i w:val="0"/>
                <w:sz w:val="19"/>
              </w:rPr>
              <w:t>Передняя группа</w:t>
            </w:r>
            <w:r>
              <w:rPr>
                <w:b w:val="0"/>
                <w:i w:val="0"/>
                <w:sz w:val="19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oMath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7024,7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 xml:space="preserve">Приведённая масса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пр</m:t>
                  </m:r>
                </m:sub>
              </m:sSub>
            </m:oMath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4269,7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/>
          <w:i w:val="0"/>
        </w:rPr>
        <w:t>3.2. Сечения и конечно-элементная модель.</w:t>
      </w:r>
      <w:r>
        <w:rPr>
          <w:b w:val="0"/>
          <w:i w:val="0"/>
        </w:rPr>
        <w:t xml:space="preserve"> Площади несущих сечений </w:t>
      </w:r>
      <m:oMath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найдены пересечением твердотельных деталей, соосных оси, плоскостями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const с шагом 20 мм (ядро OpenCASCADE). Погонная масса </w:t>
      </w:r>
      <m:oMath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получена распределением масс всех 1789 деталей по их осевой протяжённости (рисунок 6, а, б). Установка представлена стержнем из двухузловых элементов длиной </w:t>
      </w:r>
      <m:oMath>
        <m:sSub>
          <m:e>
            <m:r>
              <w:rPr>
                <w:rFonts w:ascii="Cambria Math" w:hAnsi="Cambria Math"/>
              </w:rPr>
              <m:t xml:space="preserve">ℓ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</m:oMath>
      <w:r>
        <w:rPr>
          <w:b w:val="0"/>
          <w:i w:val="0"/>
        </w:rPr>
        <w:t xml:space="preserve"> [12]. Матрица жёсткости элемента и податливость фланцевого стыка, если он попадает в элемент, имеют вид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  <m:d>
          <m:dPr>
            <m:begChr m:val="["/>
            <m:endChr m:val="]"/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</m:mPr>
              <m:m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e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ℓ</m:t>
                </m:r>
              </m:e>
              <m:sub>
                <m:r>
                  <w:rPr>
                    <w:rFonts w:ascii="Cambria Math" w:hAnsi="Cambria Math"/>
                  </w:rPr>
                  <m:t xml:space="preserve">e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E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e</m:t>
                </m:r>
              </m:sub>
            </m:sSub>
          </m:den>
        </m:f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den>
        </m:f>
        <m:r>
          <w:rPr>
            <w:rFonts w:ascii="Cambria Math" w:hAnsi="Cambria Math"/>
          </w:rPr>
          <m:t xml:space="preserve">,</m:t>
        </m:r>
      </m:oMath>
      <w:r>
        <w:tab/>
        <w:t>(7)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r>
          <w:rPr>
            <w:rFonts w:ascii="Cambria Math" w:hAnsi="Cambria Math"/>
          </w:rPr>
          <m:t xml:space="preserve">E</m:t>
        </m:r>
      </m:oMath>
      <w:r>
        <w:rPr>
          <w:b w:val="0"/>
          <w:i w:val="0"/>
        </w:rPr>
        <w:t xml:space="preserve"> = 206 ГПа,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— жёсткость стыка. Собственные частоты и формы свободного стержня находятся из задачи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d>
          <m:dPr>
            <m:begChr m:val="("/>
            <m:endChr m:val=")"/>
          </m:dPr>
          <m:e>
            <m:r>
              <m:rPr>
                <m:sty m:val="b"/>
              </m:rP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 xml:space="preserve">M</m:t>
            </m:r>
          </m:e>
        </m:d>
        <m:r>
          <m:rPr>
            <m:sty m:val="b"/>
          </m:rPr>
          <w:rPr>
            <w:rFonts w:ascii="Cambria Math" w:hAnsi="Cambria Math"/>
          </w:rPr>
          <m:t xml:space="preserve">φ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.</m:t>
        </m:r>
      </m:oMath>
      <w:r>
        <w:tab/>
        <w:t>(8)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3.3. Независимая проверка частоты.</w:t>
      </w:r>
      <w:r>
        <w:rPr>
          <w:b w:val="0"/>
          <w:i w:val="0"/>
        </w:rPr>
        <w:t xml:space="preserve"> При жёстких стыках модель даёт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68,99 Гц,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b w:val="0"/>
          <w:i w:val="0"/>
        </w:rPr>
        <w:t xml:space="preserve"> = 142,65 Гц,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>
          <w:b w:val="0"/>
          <w:i w:val="0"/>
        </w:rPr>
        <w:t xml:space="preserve"> = 171,57 Гц. Узел первой формы расположен при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14,38 м, т.е. у центра масс и муфты ПС2–ПС3 (рисунок 6, в). Первая частота превышает измеренную на 7,5 %. Это ожидаемо: жёсткие стыки дают верхнюю оценку. Следовательно, наблюдаемые колебания с частотой 64,2 Гц являются первой продольной упругой формой всей установки, а не локальной формой одного соединения. Жёсткость стыков калибровалась по двум независимым условиям: частоте 64,18 Гц и коэффициенту передачи на базе марок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= 0,056–0,070 (таблица 4). При жёстких стыках этот коэффициент равен всего 0,0088: измеренное перемещение на базе марок в 6–8 раз больше, чем дала бы сплошная конструкция, т.е. деформация на этой базе сосредоточена в соединении ПС3–ФК. Жёсткость одного стыка 12–28 ГН/м эквивалентна податливости 0,3–0,7 м поршневой трубы (</w:t>
      </w:r>
      <m:oMath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A</m:t>
        </m:r>
      </m:oMath>
      <w:r>
        <w:rPr>
          <w:b w:val="0"/>
          <w:i w:val="0"/>
        </w:rPr>
        <w:t xml:space="preserve"> ≈ 8 ГН).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4 – Модальный анализ и калибровка жёсткости стыков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515"/>
        <w:gridCol w:w="1134"/>
        <w:gridCol w:w="1134"/>
        <w:gridCol w:w="1134"/>
        <w:gridCol w:w="1360"/>
        <w:gridCol w:w="1360"/>
      </w:tblGrid>
      <w:tr>
        <w:trPr>
          <w:cantSplit/>
          <w:tblHeader/>
        </w:trPr>
        <w:tc>
          <w:tcPr>
            <w:tcW w:type="dxa" w:w="351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Вариант модели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Гц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Гц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Гц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Узел формы 1, м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L</m:t>
              </m:r>
              <m:r>
                <w:rPr>
                  <w:rFonts w:ascii="Cambria Math" w:hAnsi="Cambria Math"/>
                </w:rPr>
                <m:t xml:space="preserve">/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ФК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Жёсткие стыки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68,99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142,65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171,57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14,38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0,0088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Все стыки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13,7 ГН/м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133,3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0,105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(ПС3–ФК) = 27,7 ГН/м, прочие 11,7 ГН/м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132,9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163,1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14,32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0,056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(ПС3–ФК) = 21,4 ГН/м, прочие 12,2 ГН/м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0,070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Эксперимент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 ± 0,04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0,056–0,070</w:t>
            </w:r>
          </w:p>
        </w:tc>
      </w:tr>
    </w:tbl>
    <w:p>
      <w:pPr>
        <w:spacing w:after="40" w:line="192" w:lineRule="auto"/>
      </w:pP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322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6 – Модель по 3D-модели: а — погонная масса; б — осевая жёсткость с учётом стыков; в — первые две продольные формы (штриховые линии — фланцевые стыки, точки — тормозные станции)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Эквивалентная жёсткость двухмассовой модели равна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пр</m:t>
            </m:r>
          </m:sub>
        </m:sSub>
        <m:sSup>
          <m:e>
            <m:r>
              <w:rPr>
                <w:rFonts w:ascii="Cambria Math" w:hAnsi="Cambria Math"/>
              </w:rPr>
              <m:t xml:space="preserve">ω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пр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den>
        </m:f>
        <m:r>
          <w:rPr>
            <w:rFonts w:ascii="Cambria Math" w:hAnsi="Cambria Math"/>
          </w:rPr>
          <m:t xml:space="preserve">,</m:t>
        </m:r>
      </m:oMath>
      <w:r>
        <w:tab/>
        <w:t>(9)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что даёт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>
          <w:b w:val="0"/>
          <w:i w:val="0"/>
        </w:rPr>
        <w:t xml:space="preserve"> = 694 МН/м при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пр</m:t>
            </m:r>
          </m:sub>
        </m:sSub>
      </m:oMath>
      <w:r>
        <w:rPr>
          <w:b w:val="0"/>
          <w:i w:val="0"/>
        </w:rPr>
        <w:t xml:space="preserve"> = 4270 кг. Однако по формам рисунка 6, в относительное движение распределено по длине поршневых труб, и марки на стыке фиксируют лишь 5,6–7 % перемещения форкамеры. Поэтому модель «две массы и пружина в стыке» пригодна только для оценки частоты, но не для анализа раскрытия стыка.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Модальные амплитуды в точках крепления тормозов, нормированные на максимум, равны 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hAnsi="Cambria Math"/>
                  </w:rPr>
                  <m:t xml:space="preserve">φ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d>
      </m:oMath>
      <w:r>
        <w:rPr>
          <w:b w:val="0"/>
          <w:i w:val="0"/>
        </w:rPr>
        <w:t xml:space="preserve"> = 0,99; 0,47; 0,05; 0,63; 0,84 для S1–S5. Станция S3 находится практически в узле первой формы, S1 и S5 — вблизи пучностей.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4. Идентификация эквивалентной газодинамической нагрузки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Движение установки описывается уравнением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m:rPr>
            <m:sty m:val="b"/>
          </m:rPr>
          <w:rPr>
            <w:rFonts w:ascii="Cambria Math" w:hAnsi="Cambria Math"/>
          </w:rPr>
          <m:t xml:space="preserve">M</m:t>
        </m:r>
        <m:acc>
          <m:accPr>
            <m:chr m:val="̈"/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+</m:t>
        </m:r>
        <m:r>
          <m:rPr>
            <m:sty m:val="b"/>
          </m:rPr>
          <w:rPr>
            <w:rFonts w:ascii="Cambria Math" w:hAnsi="Cambria Math"/>
          </w:rPr>
          <m:t xml:space="preserve">C</m:t>
        </m:r>
        <m:acc>
          <m:accPr>
            <m:chr m:val="̇"/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+</m:t>
        </m:r>
        <m:r>
          <m:rPr>
            <m:sty m:val="b"/>
          </m:rPr>
          <w:rPr>
            <w:rFonts w:ascii="Cambria Math" w:hAnsi="Cambria Math"/>
          </w:rPr>
          <m:t xml:space="preserve">K</m:t>
        </m:r>
        <m:r>
          <m:rPr>
            <m:sty m:val="b"/>
          </m:rPr>
          <w:rPr>
            <w:rFonts w:ascii="Cambria Math" w:hAnsi="Cambria Math"/>
          </w:rPr>
          <m:t xml:space="preserve">u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 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 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(</m:t>
        </m:r>
        <m:acc>
          <m:accPr>
            <m:chr m:val="̇"/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,</m:t>
        </m:r>
      </m:oMath>
      <w:r>
        <w:tab/>
        <w:t>(10)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</m:oMath>
      <w:r>
        <w:rPr>
          <w:b w:val="0"/>
          <w:i w:val="0"/>
        </w:rPr>
        <w:t xml:space="preserve"> — единичные векторы узлов казённой части (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= 1,28 м) и конического перехода форкамеры (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</m:oMath>
      <w:r>
        <w:rPr>
          <w:b w:val="0"/>
          <w:i w:val="0"/>
        </w:rPr>
        <w:t xml:space="preserve"> = 21,3 м);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</m:oMath>
      <w:r>
        <w:rPr>
          <w:b w:val="0"/>
          <w:i w:val="0"/>
        </w:rPr>
        <w:t xml:space="preserve"> — сопротивление опор, распределённое пропорционально массе и подчиняющееся закону Кулона;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0"/>
          <w:i w:val="0"/>
        </w:rPr>
        <w:t xml:space="preserve"> — силы тормозов (раздел 7). Демпфирование задано модально: </w:t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0,0148. Нагрузки аппроксимированы гладкими импульсами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sin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f>
          <m:num>
            <m:r>
              <w:rPr>
                <w:rFonts w:ascii="Cambria Math" w:hAnsi="Cambria Math"/>
              </w:rPr>
              <m:t xml:space="preserve">π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≤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.</m:t>
        </m:r>
      </m:oMath>
      <w:r>
        <w:tab/>
        <w:t>(11)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Вектор параметров </w:t>
      </w:r>
      <m:oMath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находится из условия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p>
          <m:e>
            <m:r>
              <w:rPr>
                <w:rFonts w:ascii="Cambria Math" w:hAnsi="Cambria Math"/>
              </w:rPr>
              <m:t xml:space="preserve">θ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</w:rPr>
          <m:t xml:space="preserve">arg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e>
          <m:sub>
            <m:r>
              <w:rPr>
                <w:rFonts w:ascii="Cambria Math" w:hAnsi="Cambria Math"/>
              </w:rPr>
              <m:t xml:space="preserve">θ</m:t>
            </m:r>
          </m:sub>
        </m:sSub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sSup>
              <m:e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мод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(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;</m:t>
                    </m:r>
                    <m:r>
                      <w:rPr>
                        <w:rFonts w:ascii="Cambria Math" w:hAnsi="Cambria Math"/>
                      </w:rPr>
                      <m:t xml:space="preserve">θ</m:t>
                    </m:r>
                    <m:r>
                      <w:rPr>
                        <w:rFonts w:ascii="Cambria Math" w:hAnsi="Cambria Math"/>
                      </w:rPr>
                      <m:t xml:space="preserve">)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эксп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(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)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e>
        </m:nary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45</m:t>
        </m:r>
        <m:r>
          <w:rPr>
            <w:rFonts w:ascii="Cambria Math" w:hAnsi="Cambria Math"/>
          </w:rPr>
          <m:t xml:space="preserve">≤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198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мс</m:t>
        </m:r>
        <m:r>
          <w:rPr>
            <w:rFonts w:ascii="Cambria Math" w:hAnsi="Cambria Math"/>
          </w:rPr>
          <m:t xml:space="preserve">.</m:t>
        </m:r>
      </m:oMath>
      <w:r>
        <w:tab/>
        <w:t>(12)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Результаты приведены в таблице 5 и на рисунке 7.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672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6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 xml:space="preserve">Рисунок 7 – Идентификация нагрузки: а — перемещение форкамеры (эксперимент и модель) и центра масс; б — восстановленные импульсы </w:t>
      </w:r>
      <m:oMath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  <w:sz w:val="22"/>
        </w:rPr>
        <w:t xml:space="preserve"> и </w:t>
      </w:r>
      <m:oMath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  <w:sz w:val="22"/>
        </w:rPr>
        <w:t>; в — скорость центра масс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5 – Идентифицированные параметры эквивалентной нагрузки (опыт 1)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402"/>
        <w:gridCol w:w="2835"/>
        <w:gridCol w:w="3402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Значение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Независимый контроль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Амплитуда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(казённая часть)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2,30 ± 0,24 МН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</w:rPr>
                <m:t xml:space="preserve">/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125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187 МПа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Начало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/ длительность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τ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47,9 ± 0,6 мс / 10,9 ± 1,3 мс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отметка D1 = 48,9 мс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Импульс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12,5 кН·с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M</m:t>
              </m:r>
              <m:d>
                <m:dPr>
                  <m:begChr m:val="|"/>
                  <m:endChr m:val="|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цм</m:t>
                      </m:r>
                      <m:r>
                        <w:rPr>
                          <w:rFonts w:ascii="Cambria Math" w:hAnsi="Cambria Math"/>
                        </w:rPr>
                        <m:t xml:space="preserve">,</m:t>
                      </m:r>
                      <m:r>
                        <w:rPr>
                          <w:rFonts w:ascii="Cambria Math" w:hAnsi="Cambria Math"/>
                        </w:rPr>
                        <m:t xml:space="preserve">m</m:t>
                      </m:r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sub>
                  </m:sSub>
                </m:e>
              </m:d>
            </m:oMath>
            <w:r>
              <w:rPr>
                <w:b w:val="0"/>
                <w:i w:val="0"/>
                <w:sz w:val="19"/>
              </w:rPr>
              <w:t xml:space="preserve"> = 12,4 кН·с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Амплитуда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Q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(форкамера)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2,08 ± 0,42 МН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Q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</w:rPr>
                <m:t xml:space="preserve">/</m:t>
              </m:r>
              <m:r>
                <w:rPr>
                  <w:rFonts w:ascii="Cambria Math" w:hAnsi="Cambria Math"/>
                </w:rPr>
                <m:t xml:space="preserve">(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125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50</m:t>
                  </m:r>
                </m:sub>
              </m:sSub>
              <m:r>
                <w:rPr>
                  <w:rFonts w:ascii="Cambria Math" w:hAnsi="Cambria Math"/>
                </w:rPr>
                <m:t xml:space="preserve">)</m:t>
              </m:r>
            </m:oMath>
            <w:r>
              <w:rPr>
                <w:b w:val="0"/>
                <w:i w:val="0"/>
                <w:sz w:val="19"/>
              </w:rPr>
              <w:t xml:space="preserve"> = 202 МПа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Начало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/ длительность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τ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64,5 ± 1,2 мс / 10,1 ± 2,1 мс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максимум 69,5 мс; вылет 70,07 мс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Импульс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10,5 кН·с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Сопротивление опор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11,1 ± 4,3 кН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замедление дрейфа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СКО / максимум невязки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0,31 / 0,76 мм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Результат согласуется с тремя независимыми признаками. Начало импульса 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(47,9 ± 0,6 мс) совпадает с отметкой D1 (48,9 мс), которая при подгонке не использовалась. Максимум 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</w:rPr>
        <w:t xml:space="preserve"> (69,5 мс) совпадает с моментом вылета (70,07 мс). Эквивалентные давления около 190–200 МПа имеют правдоподобный для двухступенчатых установок порядок [2, 3]. Пиковая скорость центра масс составляет −0,69 м/с при 58,6 мс, а количество движения установки 12,4 кН·с близко к </w:t>
      </w: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. Это отражает баланс импульса: при торможении поршня в форкамере его количество движения возвращается установке, и после выстрела остаётся лишь разность </w:t>
      </w: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≈ −2 кН·с. Робастными характеристиками являются импульсы и моменты времени; пиковые значения зависят от принятой формы (11), коэффициент корреляции </w:t>
      </w: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и </w:t>
      </w:r>
      <m:oMath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равен −0,97.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Энергетический баланс выявляет существенную асимметрию. Работа нагрузок равна 11,4 кДж, из них 9,2 кДж после выстрела запасено в первой форме, тогда как кинетическая энергия остаточного отката составляет лишь </w:t>
      </w:r>
      <m:oMath>
        <m:r>
          <w:rPr>
            <w:rFonts w:ascii="Cambria Math" w:hAnsi="Cambria Math"/>
          </w:rPr>
          <m:t xml:space="preserve">M</m:t>
        </m:r>
        <m:sSup>
          <m:e>
            <m:r>
              <w:rPr>
                <w:rFonts w:ascii="Cambria Math" w:hAnsi="Cambria Math"/>
              </w:rPr>
              <m:t xml:space="preserve">v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2</m:t>
        </m:r>
      </m:oMath>
      <w:r>
        <w:rPr>
          <w:b w:val="0"/>
          <w:i w:val="0"/>
        </w:rPr>
        <w:t xml:space="preserve"> ≈ 87 Дж. Остановка отката и гашение колебаний — две задачи с энергиями, различающимися на два порядка.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Чувствительность модели показывает принципиальное ограничение имеющейся серии. Изменение </w:t>
      </w: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на ±10 % меняет перемещение к 200 мс на ±40 %, поскольку остаточный импульс — малая разность двух больших величин. Уменьшение </w:t>
      </w: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всего на 6,0 и 7,1 % без всяких тормозов даёт 18 и 17 мм, т.е. значения опытов 2 и 3. Раскрытие стыка к нагрузке значительно менее чувствительно: ±6–8 % при вариации </w:t>
      </w: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±10 % и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±20 %.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5. Механика тормоза и тормозная способность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Характеристика тарельчатой пружины с опорными плоскостями рассчитывается по формуле Альмена–Ласло с поправками EN 16984 [9, 11]: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4</m:t>
            </m:r>
            <m:r>
              <w:rPr>
                <w:rFonts w:ascii="Cambria Math" w:hAnsi="Cambria Math"/>
              </w:rPr>
              <m:t xml:space="preserve">E</m:t>
            </m:r>
          </m:num>
          <m:den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ν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 </m:t>
        </m:r>
        <m:f>
          <m:num>
            <m:sSubSup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t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′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 </m:t>
                </m:r>
                <m:r>
                  <w:rPr>
                    <w:rFonts w:ascii="Cambria Math" w:hAnsi="Cambria Math"/>
                  </w:rPr>
                  <m:t xml:space="preserve">4</m:t>
                </m:r>
              </m:sup>
            </m:sSup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sSup>
              <m:e>
                <m:r>
                  <w:rPr>
                    <w:rFonts w:ascii="Cambria Math" w:hAnsi="Cambria Math"/>
                  </w:rPr>
                  <m:t xml:space="preserve">D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 </m:t>
        </m:r>
        <m:f>
          <m:num>
            <m:r>
              <w:rPr>
                <w:rFonts w:ascii="Cambria Math" w:hAnsi="Cambria Math"/>
              </w:rPr>
              <m:t xml:space="preserve">s</m:t>
            </m:r>
          </m:num>
          <m:den>
            <m:r>
              <w:rPr>
                <w:rFonts w:ascii="Cambria Math" w:hAnsi="Cambria Math"/>
              </w:rPr>
              <m:t xml:space="preserve">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′</m:t>
            </m:r>
          </m:den>
        </m:f>
        <m:d>
          <m:dPr>
            <m:begChr m:val="["/>
            <m:endChr m:val="]"/>
          </m:dPr>
          <m:e>
            <m:sSubSup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</m:e>
            </m:d>
            <m:d>
              <m:dPr>
                <m:begChr m:val="("/>
                <m:endChr m:val=")"/>
              </m:dPr>
              <m:e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</m:e>
            </m:d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e>
        </m:d>
        <m:r>
          <w:rPr>
            <w:rFonts w:ascii="Cambria Math" w:hAnsi="Cambria Math"/>
          </w:rPr>
          <m:t xml:space="preserve">,</m:t>
        </m:r>
      </m:oMath>
      <w:r>
        <w:tab/>
        <w:t>(13)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π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 </m:t>
        </m:r>
        <m:f>
          <m:num>
            <m:sSup>
              <m:e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δ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δ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f>
              <m:num>
                <m:r>
                  <w:rPr>
                    <w:rFonts w:ascii="Cambria Math" w:hAnsi="Cambria Math"/>
                  </w:rPr>
                  <m:t xml:space="preserve">δ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δ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den>
            </m:f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ln</m:t>
                </m:r>
                <m:r>
                  <w:rPr>
                    <w:rFonts w:ascii="Cambria Math" w:hAnsi="Cambria Math"/>
                  </w:rPr>
                  <m:t xml:space="preserve">δ</m:t>
                </m:r>
              </m:den>
            </m:f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D</m:t>
            </m:r>
          </m:num>
          <m:den>
            <m:r>
              <w:rPr>
                <w:rFonts w:ascii="Cambria Math" w:hAnsi="Cambria Math"/>
              </w:rPr>
              <m:t xml:space="preserve">d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(14)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</m:oMath>
      <w:r>
        <w:rPr>
          <w:b w:val="0"/>
          <w:i w:val="0"/>
        </w:rPr>
        <w:t xml:space="preserve"> — поправочный коэффициент для пружин с опорными плоскостями. При </w:t>
      </w:r>
      <m:oMath>
        <m:r>
          <w:rPr>
            <w:rFonts w:ascii="Cambria Math" w:hAnsi="Cambria Math"/>
          </w:rPr>
          <m:t xml:space="preserve">δ</m:t>
        </m:r>
      </m:oMath>
      <w:r>
        <w:rPr>
          <w:b w:val="0"/>
          <w:i w:val="0"/>
        </w:rPr>
        <w:t xml:space="preserve"> = 2,286 получено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0,7393 и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</m:oMath>
      <w:r>
        <w:rPr>
          <w:b w:val="0"/>
          <w:i w:val="0"/>
        </w:rPr>
        <w:t xml:space="preserve"> = 1,028 (</w:t>
      </w:r>
      <m:oMath>
        <m:r>
          <w:rPr>
            <w:rFonts w:ascii="Cambria Math" w:hAnsi="Cambria Math"/>
          </w:rPr>
          <m:t xml:space="preserve">E</m:t>
        </m:r>
      </m:oMath>
      <w:r>
        <w:rPr>
          <w:b w:val="0"/>
          <w:i w:val="0"/>
        </w:rPr>
        <w:t xml:space="preserve"> = 206 ГПа, </w:t>
      </w:r>
      <m:oMath>
        <m:r>
          <w:rPr>
            <w:rFonts w:ascii="Cambria Math" w:hAnsi="Cambria Math"/>
          </w:rPr>
          <m:t xml:space="preserve">ν</m:t>
        </m:r>
      </m:oMath>
      <w:r>
        <w:rPr>
          <w:b w:val="0"/>
          <w:i w:val="0"/>
        </w:rPr>
        <w:t xml:space="preserve"> = 0,3). Поскольку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= 0,238, характеристика практически линейна с жёсткостью </w:t>
      </w:r>
      <m:oMath>
        <m:r>
          <w:rPr>
            <w:rFonts w:ascii="Cambria Math" w:hAnsi="Cambria Math"/>
          </w:rPr>
          <m:t xml:space="preserve">c</m:t>
        </m:r>
      </m:oMath>
      <w:r>
        <w:rPr>
          <w:b w:val="0"/>
          <w:i w:val="0"/>
        </w:rPr>
        <w:t xml:space="preserve"> ≈ 34,0 кН/мм (рисунок 8, а). Для пакета из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т</m:t>
            </m:r>
          </m:sub>
        </m:sSub>
      </m:oMath>
      <w:r>
        <w:rPr>
          <w:b w:val="0"/>
          <w:i w:val="0"/>
        </w:rPr>
        <w:t xml:space="preserve"> = 6 пружин, установленных последовательно, и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</m:oMath>
      <w:r>
        <w:rPr>
          <w:b w:val="0"/>
          <w:i w:val="0"/>
        </w:rPr>
        <w:t xml:space="preserve"> = 3 пакетов нормальная сила и сила трения тормоза равны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т</m:t>
            </m:r>
          </m:sub>
        </m:sSub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,</m:t>
        </m:r>
      </m:oMath>
      <w:r>
        <w:tab/>
        <w:t>(15)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поскольку нормальная сила действует на двух поверхностях трения: пластина — головка рельса и захваты — нижние грани головки. Коэффициенты трения пар «пластина — рельс» и «захват — рельс» не определялись (материал пластины в 3D-модели не указан), поэтому принят диапазон 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0,3–0,8. Чувствительность регулировки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т</m:t>
            </m:r>
          </m:sub>
        </m:sSub>
      </m:oMath>
      <w:r>
        <w:rPr>
          <w:b w:val="0"/>
          <w:i w:val="0"/>
        </w:rPr>
        <w:t xml:space="preserve"> = 17,0 кН/мм на тормоз: при шаге резьбы гайки 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один оборот меняет </w:t>
      </w:r>
      <m:oMath>
        <m:r>
          <w:rPr>
            <w:rFonts w:ascii="Cambria Math" w:hAnsi="Cambria Math"/>
          </w:rPr>
          <m:t xml:space="preserve">N</m:t>
        </m:r>
      </m:oMath>
      <w:r>
        <w:rPr>
          <w:b w:val="0"/>
          <w:i w:val="0"/>
        </w:rPr>
        <w:t xml:space="preserve"> на </w:t>
      </w:r>
      <m:oMath>
        <m:r>
          <w:rPr>
            <w:rFonts w:ascii="Cambria Math" w:hAnsi="Cambria Math"/>
          </w:rPr>
          <m:t xml:space="preserve">17</m:t>
        </m:r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кН (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в мм). Отсюда необходимость прямой калибровки «деление шкалы — сила».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6 – Характеристика тарельчатой пружины и тормозная способность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1077"/>
        <w:gridCol w:w="907"/>
        <w:gridCol w:w="793"/>
        <w:gridCol w:w="963"/>
        <w:gridCol w:w="1134"/>
        <w:gridCol w:w="907"/>
        <w:gridCol w:w="1304"/>
        <w:gridCol w:w="1474"/>
        <w:gridCol w:w="793"/>
      </w:tblGrid>
      <w:tr>
        <w:trPr>
          <w:cantSplit/>
          <w:tblHeader/>
        </w:trPr>
        <w:tc>
          <w:tcPr>
            <w:tcW w:type="dxa" w:w="107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s</m:t>
              </m:r>
              <m:r>
                <w:rPr>
                  <w:rFonts w:ascii="Cambria Math" w:hAnsi="Cambria Math"/>
                </w:rPr>
                <m:t xml:space="preserve">/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</w:rPr>
                <m:t xml:space="preserve">′</m:t>
              </m:r>
            </m:oMath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s</m:t>
              </m:r>
            </m:oMath>
            <w:r>
              <w:rPr>
                <w:b/>
                <w:i w:val="0"/>
                <w:sz w:val="18"/>
              </w:rPr>
              <w:t>, мм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F</m:t>
              </m:r>
            </m:oMath>
            <w:r>
              <w:rPr>
                <w:b/>
                <w:i w:val="0"/>
                <w:sz w:val="18"/>
              </w:rPr>
              <w:t>, кН</w:t>
            </w:r>
          </w:p>
        </w:tc>
        <w:tc>
          <w:tcPr>
            <w:tcW w:type="dxa" w:w="96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σ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O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</m:sub>
              </m:sSub>
            </m:oMath>
            <w:r>
              <w:rPr>
                <w:b/>
                <w:i w:val="0"/>
                <w:sz w:val="18"/>
              </w:rPr>
              <w:t>, МПа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</m:oMath>
            <w:r>
              <w:rPr>
                <w:b/>
                <w:i w:val="0"/>
                <w:sz w:val="18"/>
              </w:rPr>
              <w:t xml:space="preserve"> на тормоз, кН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Δ</m:t>
              </m:r>
            </m:oMath>
            <w:r>
              <w:rPr>
                <w:b/>
                <w:i w:val="0"/>
                <w:sz w:val="18"/>
              </w:rPr>
              <w:t>, мм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</m:oMath>
            <w:r>
              <w:rPr>
                <w:b/>
                <w:i w:val="0"/>
                <w:sz w:val="18"/>
              </w:rPr>
              <w:t xml:space="preserve"> на тормоз, кН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/>
                <w:i w:val="0"/>
                <w:sz w:val="18"/>
              </w:rPr>
              <w:t xml:space="preserve"> (10 тормозов), кН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q</m:t>
              </m:r>
            </m:oMath>
            <w:r>
              <w:rPr>
                <w:b/>
                <w:i w:val="0"/>
                <w:sz w:val="18"/>
              </w:rPr>
              <w:t>, МПа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0,25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0,175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5,84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−604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17,5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1,05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5,3…14,0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53…140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1,7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0,50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0,350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11,50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−1208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34,5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2,10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10,3…27,6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103…276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3,4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0,75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0,525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17,03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−1813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51,1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3,15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15,3…40,9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153…409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5,0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0,05…0,17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0,04…0,12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3,8…12,3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0,22…0,73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3,0…3,7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30…37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0,4…1,2</w:t>
            </w:r>
          </w:p>
        </w:tc>
      </w:tr>
    </w:tbl>
    <w:p>
      <w:pPr>
        <w:spacing w:after="40" w:line="192" w:lineRule="auto"/>
      </w:pPr>
    </w:p>
    <w:p>
      <w:pPr>
        <w:spacing w:before="0" w:after="80" w:line="240" w:lineRule="auto"/>
        <w:ind w:firstLine="0"/>
        <w:jc w:val="both"/>
      </w:pPr>
      <w:r>
        <w:rPr>
          <w:b w:val="0"/>
          <w:i w:val="0"/>
          <w:sz w:val="20"/>
        </w:rPr>
        <w:t xml:space="preserve">Примечание: </w:t>
      </w:r>
      <m:oMath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O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0"/>
          <w:i w:val="0"/>
          <w:sz w:val="20"/>
        </w:rPr>
        <w:t xml:space="preserve"> — напряжение на верхней кромке у внутреннего диаметра; 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  <w:sz w:val="20"/>
        </w:rPr>
        <w:t xml:space="preserve"> — среднее давление на пластине 203 × 50 мм; последняя строка — уровень опытов 2–3 (раздел 7.2). Допустимый рабочий прогиб должен быть проверен по марке стали пружин [10, 11].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58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5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8 – Характеристики: а — тарельчатая пружина 32 × 14 × 3,0 × 0,7; б — нормальная сила и сила трения одного тормоза в зависимости от сжатия пакета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6. Сухое трение при наложении колебаний на откат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После выстрела скорость точки крепления </w:t>
      </w:r>
      <m:oMath>
        <m:r>
          <w:rPr>
            <w:rFonts w:ascii="Cambria Math" w:hAnsi="Cambria Math"/>
          </w:rPr>
          <m:t xml:space="preserve">j</m:t>
        </m:r>
      </m:oMath>
      <w:r>
        <w:rPr>
          <w:b w:val="0"/>
          <w:i w:val="0"/>
        </w:rPr>
        <w:t>-й станции равна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ω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hAnsi="Cambria Math"/>
                  </w:rPr>
                  <m:t xml:space="preserve">φ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d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,</m:t>
        </m:r>
      </m:oMath>
      <w:r>
        <w:tab/>
        <w:t>(16)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</w:rPr>
        <w:t xml:space="preserve"> — модальная амплитуда (нормированная на максимум формы). Сила Кулона </w:t>
      </w:r>
      <m:oMath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m:rPr>
            <m:sty m:val="p"/>
          </m:rPr>
          <w:rPr>
            <w:rFonts w:ascii="Cambria Math" w:hAnsi="Cambria Math"/>
          </w:rPr>
          <m:t xml:space="preserve">sign</m:t>
        </m:r>
        <m:r>
          <m:rPr>
            <m:sty m:val="p"/>
          </m:rP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при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ω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>
          <w:b w:val="0"/>
          <w:i w:val="0"/>
        </w:rPr>
        <w:t xml:space="preserve"> меняет знак дважды за период. Её среднее значение, тормозящее откат, и энергия, отбираемая у колебаний за цикл, равны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d>
          <m:dPr>
            <m:begChr m:val="⟨"/>
            <m:endChr m:val="⟩"/>
          </m:dPr>
          <m:e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d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w:rPr>
            <w:rFonts w:ascii="Cambria Math" w:hAnsi="Cambria Math"/>
          </w:rPr>
          <m:t xml:space="preserve">η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η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arcsin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</m:e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≥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</m:e>
            </m:eqArr>
          </m:e>
        </m:d>
      </m:oMath>
      <w:r>
        <w:tab/>
        <w:t>(17)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Δ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.</m:t>
        </m:r>
      </m:oMath>
      <w:r>
        <w:tab/>
        <w:t>(18)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Формулы (17), (18) получены осреднением </w:t>
      </w:r>
      <m:oMath>
        <m:r>
          <m:rPr>
            <m:sty m:val="p"/>
          </m:rP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A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и </w:t>
      </w:r>
      <m:oMath>
        <m:r>
          <m:rPr>
            <m:sty m:val="p"/>
          </m:rP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θ</m:t>
        </m:r>
      </m:oMath>
      <w:r>
        <w:rPr>
          <w:b w:val="0"/>
          <w:i w:val="0"/>
        </w:rPr>
        <w:t xml:space="preserve"> по фазе </w:t>
      </w:r>
      <m:oMath>
        <m:r>
          <w:rPr>
            <w:rFonts w:ascii="Cambria Math" w:hAnsi="Cambria Math"/>
          </w:rPr>
          <m:t xml:space="preserve">θ</m:t>
        </m:r>
      </m:oMath>
      <w:r>
        <w:rPr>
          <w:b w:val="0"/>
          <w:i w:val="0"/>
        </w:rPr>
        <w:t xml:space="preserve"> (ср. [6, 8]). Эквивалентный коэффициент демпфирования первой формы, вносимый тормозами, равен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  <m:sup/>
              <m:e>
                <m:r>
                  <w:rPr>
                    <w:rFonts w:ascii="Cambria Math" w:hAnsi="Cambria Math"/>
                  </w:rPr>
                  <m:t xml:space="preserve">Δ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</w:rPr>
              <m:t xml:space="preserve">4</m:t>
            </m:r>
            <m:r>
              <w:rPr>
                <w:rFonts w:ascii="Cambria Math" w:hAnsi="Cambria Math"/>
              </w:rPr>
              <m:t xml:space="preserve">π</m:t>
            </m:r>
            <m:sSub>
              <m:e>
                <m:r>
                  <w:rPr>
                    <w:rFonts w:ascii="Cambria Math" w:hAnsi="Cambria Math"/>
                  </w:rPr>
                  <m:t xml:space="preserve">E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π</m:t>
            </m:r>
            <m:sSup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p>
                <m:r>
                  <w:rPr>
                    <w:rFonts w:ascii="Cambria Math" w:hAnsi="Cambria Math"/>
                  </w:rPr>
                  <m:t xml:space="preserve">∗</m:t>
                </m:r>
              </m:sup>
            </m:sSup>
            <m:sSup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q</m:t>
            </m:r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j</m:t>
            </m:r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d>
              <m:dPr>
                <m:begChr m:val="|"/>
                <m:endChr m:val="|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</m:t>
                </m:r>
              </m:e>
            </m:d>
            <m:r>
              <w:rPr>
                <w:rFonts w:ascii="Cambria Math" w:hAnsi="Cambria Math"/>
              </w:rPr>
              <m:t xml:space="preserve">κ</m:t>
            </m:r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nary>
        <m:r>
          <w:rPr>
            <w:rFonts w:ascii="Cambria Math" w:hAnsi="Cambria Math"/>
          </w:rPr>
          <m:t xml:space="preserve">,</m:t>
        </m:r>
      </m:oMath>
      <w:r>
        <w:tab/>
        <w:t>(19)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p>
          <m:e>
            <m:r>
              <w:rPr>
                <w:rFonts w:ascii="Cambria Math" w:hAnsi="Cambria Math"/>
              </w:rPr>
              <m:t xml:space="preserve">m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</m:oMath>
      <w:r>
        <w:rPr>
          <w:b w:val="0"/>
          <w:i w:val="0"/>
        </w:rPr>
        <w:t xml:space="preserve"> = 8479 кг — модальная масса,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m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  <m:sSup>
          <m:e>
            <m:r>
              <w:rPr>
                <w:rFonts w:ascii="Cambria Math" w:hAnsi="Cambria Math"/>
              </w:rPr>
              <m:t xml:space="preserve">ω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sSup>
          <m:e>
            <m:r>
              <w:rPr>
                <w:rFonts w:ascii="Cambria Math" w:hAnsi="Cambria Math"/>
              </w:rPr>
              <m:t xml:space="preserve">q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2</m:t>
        </m:r>
      </m:oMath>
      <w:r>
        <w:rPr>
          <w:b w:val="0"/>
          <w:i w:val="0"/>
        </w:rPr>
        <w:t>. Сразу после выстрела (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</w:rPr>
        <w:t xml:space="preserve"> = 3,66 мм, </w:t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>
          <w:b w:val="0"/>
          <w:i w:val="0"/>
        </w:rPr>
        <w:t xml:space="preserve"> ≈ 0,1 м/с) параметр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равен 0,07; 0,14; 1,31; 0,11; 0,08 для S1–S5. Поэтому для станций S1, S4, S5 </w:t>
      </w:r>
      <m:oMath>
        <m:r>
          <w:rPr>
            <w:rFonts w:ascii="Cambria Math" w:hAnsi="Cambria Math"/>
          </w:rPr>
          <m:t xml:space="preserve">η</m:t>
        </m:r>
      </m:oMath>
      <w:r>
        <w:rPr>
          <w:b w:val="0"/>
          <w:i w:val="0"/>
        </w:rPr>
        <w:t xml:space="preserve"> = 0,04–0,07: их сила трения почти целиком расходуется на гашение колебаний и мало тормозит откат. Станция S3 в узле, напротив, работает на откат полностью (</w:t>
      </w:r>
      <m:oMath>
        <m:r>
          <w:rPr>
            <w:rFonts w:ascii="Cambria Math" w:hAnsi="Cambria Math"/>
          </w:rPr>
          <m:t xml:space="preserve">η</m:t>
        </m:r>
      </m:oMath>
      <w:r>
        <w:rPr>
          <w:b w:val="0"/>
          <w:i w:val="0"/>
        </w:rPr>
        <w:t xml:space="preserve"> = 1), но колебаний не гасит (рисунок 9). Для равномерной схемы с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30 кН среднее тормозящее усилие в начале процесса составляет лишь 7,5 кН (25 %), а </w:t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0"/>
          <w:i w:val="0"/>
        </w:rPr>
        <w:t xml:space="preserve"> = 0,0022 (15 % собственного демпфирования). По мере затухания колебаний </w:t>
      </w:r>
      <m:oMath>
        <m:r>
          <w:rPr>
            <w:rFonts w:ascii="Cambria Math" w:hAnsi="Cambria Math"/>
          </w:rPr>
          <m:t xml:space="preserve">η</m:t>
        </m:r>
      </m:oMath>
      <w:r>
        <w:rPr>
          <w:b w:val="0"/>
          <w:i w:val="0"/>
        </w:rPr>
        <w:t xml:space="preserve"> растёт, поэтому эффект нелинейный и оценивается прямым моделированием.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816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1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9 – Эффективность сухого трения: а — доли силы трения, идущие на торможение отката (17) и гашение колебаний (18); б — модальные амплитуды в точках крепления станций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7. Численное сравнение схем размещения и уровней затяжки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7.1. Модель и её проверка.</w:t>
      </w:r>
      <w:r>
        <w:rPr>
          <w:b w:val="0"/>
          <w:i w:val="0"/>
        </w:rPr>
        <w:t xml:space="preserve"> Уравнение (10) интегрируется явной схемой центральных разностей (321 узел, шаг по оси 0,1 м, </w:t>
      </w:r>
      <m:oMath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t</m:t>
        </m:r>
      </m:oMath>
      <w:r>
        <w:rPr>
          <w:b w:val="0"/>
          <w:i w:val="0"/>
        </w:rPr>
        <w:t xml:space="preserve"> = 0,4</w:t>
      </w:r>
      <m:oMath>
        <m:r>
          <w:rPr>
            <w:rFonts w:ascii="Cambria Math" w:hAnsi="Cambria Math"/>
          </w:rPr>
          <m:t xml:space="preserve">Δ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кр</m:t>
            </m:r>
          </m:sub>
        </m:sSub>
      </m:oMath>
      <w:r>
        <w:rPr>
          <w:b w:val="0"/>
          <w:i w:val="0"/>
        </w:rPr>
        <w:t xml:space="preserve"> = 7,8 мкс). Тормоз </w:t>
      </w:r>
      <m:oMath>
        <m:r>
          <w:rPr>
            <w:rFonts w:ascii="Cambria Math" w:hAnsi="Cambria Math"/>
          </w:rPr>
          <m:t xml:space="preserve">j</m:t>
        </m:r>
      </m:oMath>
      <w:r>
        <w:rPr>
          <w:b w:val="0"/>
          <w:i w:val="0"/>
        </w:rPr>
        <w:t xml:space="preserve">-й станции представлен элементом Дженкинса: упругая тяга жёсткостью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</m:oMath>
      <w:r>
        <w:rPr>
          <w:b w:val="0"/>
          <w:i w:val="0"/>
        </w:rPr>
        <w:t xml:space="preserve"> = 5,6·10⁸ Н/м (</w:t>
      </w:r>
      <m:oMath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</w:rPr>
        <w:t xml:space="preserve"> тяги по 3D-модели) последовательно с кулоновским ползуном, усилие проскальзывания которого равно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>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Sup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r</m:t>
            </m:r>
          </m:sup>
        </m:sSubSup>
        <m:r>
          <w:rPr>
            <w:rFonts w:ascii="Cambria Math" w:hAnsi="Cambria Math"/>
          </w:rPr>
          <m:t xml:space="preserve">=</m:t>
        </m:r>
        <m:sSubSup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n</m:t>
            </m:r>
          </m:sup>
        </m:sSubSup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w:rPr>
            <w:rFonts w:ascii="Cambria Math" w:hAnsi="Cambria Math"/>
          </w:rPr>
          <m:t xml:space="preserve">Δ</m:t>
        </m:r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Sup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sup>
        </m:sSubSup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 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 </m:t>
                        </m:r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r</m:t>
                        </m:r>
                      </m:sup>
                    </m:sSubSup>
                  </m:e>
                </m:d>
                <m:r>
                  <w:rPr>
                    <w:rFonts w:ascii="Cambria Math" w:hAnsi="Cambria Math"/>
                  </w:rPr>
                  <m:t xml:space="preserve">≤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</m:t>
                </m:r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 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sign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 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 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 </m:t>
                        </m:r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r</m:t>
                        </m:r>
                      </m:sup>
                    </m:sSubSup>
                  </m:e>
                </m:d>
                <m:r>
                  <w:rPr>
                    <w:rFonts w:ascii="Cambria Math" w:hAnsi="Cambria Math"/>
                  </w:rPr>
                  <m:t xml:space="preserve">&gt;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.</m:t>
                </m:r>
              </m:e>
            </m:eqArr>
          </m:e>
        </m:d>
      </m:oMath>
      <w:r>
        <w:tab/>
        <w:t>(20)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Для каждого расчёта проверяется энергобаланс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внеш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,</m:t>
        </m:r>
      </m:oMath>
      <w:r>
        <w:tab/>
        <w:t>(21)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>
          <w:b w:val="0"/>
          <w:i w:val="0"/>
        </w:rPr>
        <w:t xml:space="preserve"> — кинетическая и упругая энергии;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</m:oMath>
      <w:r>
        <w:rPr>
          <w:b w:val="0"/>
          <w:i w:val="0"/>
        </w:rPr>
        <w:t xml:space="preserve"> — диссипация в конструкции, тормозах и опорах. Относительная погрешность баланса во всех расчётах не превышает 5·10⁻⁴. Сходимость проверена: при уменьшении шага сетки с 0,1 до 0,05 м и шага по времени вдвое изменения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, перемещений форкамеры, полного отката и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не превышают 0,3 %. Без тормозов модель воспроизводит опыт 1 (раздел 4). При задании тормозов со всех пяти станций с равными усилиями перемещения 18 и 17 мм к 200 мс получаются при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30,3 и 37,0 кН, т.е. 3,0–3,7 кН на тормоз. Этому соответствует сжатие пакетов лишь 0,22–0,73 мм, т.е. прогиб пружин 5–17 %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(таблица 6). Идентифицированное усилие зависит от схемы: без S3 оно составляет 45 кН, только на S1 и S5 — 53,5 кН. Уменьшение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</m:oMath>
      <w:r>
        <w:rPr>
          <w:b w:val="0"/>
          <w:i w:val="0"/>
        </w:rPr>
        <w:t xml:space="preserve"> в 10 раз меняет результат менее чем на 3 %. С учётом раздела 4 эта оценка условна: тот же эффект даёт уменьшение импульса 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на 6–7 %.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7.2. Результаты.</w:t>
      </w:r>
      <w:r>
        <w:rPr>
          <w:b w:val="0"/>
          <w:i w:val="0"/>
        </w:rPr>
        <w:t xml:space="preserve"> Зависимости от суммарного усилия показаны на рисунке 10, сравнение десяти схем — в таблице 7 и на рисунке 11, временные процессы — на рисунке 12. Основные закономерности следующие.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246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n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24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10 – Влияние суммарного тормозного усилия для четырёх схем: а — перемещение форкамеры за 0–200 мс (пунктир — опыты 1–3); б — полный откат; в — амплитуда колебаний при 170–200 мс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7 – Сравнение схем размещения (результаты прямого моделирования)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96"/>
        <w:gridCol w:w="1644"/>
        <w:gridCol w:w="1927"/>
        <w:gridCol w:w="737"/>
        <w:gridCol w:w="793"/>
        <w:gridCol w:w="680"/>
        <w:gridCol w:w="793"/>
        <w:gridCol w:w="793"/>
        <w:gridCol w:w="680"/>
        <w:gridCol w:w="793"/>
      </w:tblGrid>
      <w:tr>
        <w:trPr>
          <w:cantSplit/>
          <w:tblHeader/>
        </w:trPr>
        <w:tc>
          <w:tcPr>
            <w:tcW w:type="dxa" w:w="397"/>
            <w:vMerge w:val="restart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7"/>
              </w:rPr>
              <w:t>№</w:t>
            </w:r>
          </w:p>
        </w:tc>
        <w:tc>
          <w:tcPr>
            <w:tcW w:type="dxa" w:w="1644"/>
            <w:vMerge w:val="restart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7"/>
              </w:rPr>
              <w:t>Схема</w:t>
            </w:r>
          </w:p>
        </w:tc>
        <w:tc>
          <w:tcPr>
            <w:tcW w:type="dxa" w:w="1928"/>
            <w:vMerge w:val="restart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7"/>
              </w:rPr>
              <w:t>Веса S1–S5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200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полн</m:t>
                  </m:r>
                </m:sub>
              </m:sSub>
            </m:oMath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170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полн</m:t>
                  </m:r>
                </m:sub>
              </m:sSub>
            </m:oMath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170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</w:p>
        </w:tc>
      </w:tr>
      <w:tr>
        <w:trPr>
          <w:cantSplit/>
          <w:tblHeader/>
        </w:trPr>
        <w:tc>
          <w:tcPr>
            <w:tcW w:type="dxa" w:w="397"/>
            <w:vMerge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type="dxa" w:w="1644"/>
            <w:vMerge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type="dxa" w:w="1928"/>
            <w:vMerge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type="dxa" w:w="3005"/>
            <w:gridSpan w:val="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/>
                <w:i w:val="0"/>
                <w:sz w:val="17"/>
              </w:rPr>
              <w:t xml:space="preserve"> = 30 кН</w:t>
            </w:r>
          </w:p>
        </w:tc>
        <w:tc>
          <w:tcPr>
            <w:tcW w:type="dxa" w:w="2268"/>
            <w:gridSpan w:val="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/>
                <w:i w:val="0"/>
                <w:sz w:val="17"/>
              </w:rPr>
              <w:t xml:space="preserve"> = 100 кН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тормозов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40,3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40,3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3,17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 пар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1-1-1-1-1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11,2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3,05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S1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0-1-1-1-1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17,7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0,70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3,08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S2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1-0-1-1-1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3,03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S3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1-1-0-1-1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19,7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23,2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0,48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3,03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S4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1-1-1-0-1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17,7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3,05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S5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1-1-1-1-0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3,05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2-1-1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2-0-1-1-0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0,54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Концевая S1+S5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1-0-0-0-1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0,34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2,98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Узловая S2-S3-S4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0-1-1-1-0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Пропорц. массе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0,23-0,17-0,17-0,31-0,12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0,58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3,04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★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Рекомендуемая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0,48-0,18-0,32-0,01-0,01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3,02</w:t>
            </w:r>
          </w:p>
        </w:tc>
      </w:tr>
    </w:tbl>
    <w:p>
      <w:pPr>
        <w:spacing w:after="40" w:line="192" w:lineRule="auto"/>
      </w:pPr>
    </w:p>
    <w:p>
      <w:pPr>
        <w:spacing w:before="0" w:after="80" w:line="240" w:lineRule="auto"/>
        <w:ind w:firstLine="0"/>
        <w:jc w:val="both"/>
      </w:pPr>
      <w:r>
        <w:rPr>
          <w:b w:val="0"/>
          <w:i w:val="0"/>
          <w:sz w:val="20"/>
        </w:rPr>
        <w:t xml:space="preserve">Примечание: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200</m:t>
            </m:r>
          </m:sub>
        </m:sSub>
      </m:oMath>
      <w:r>
        <w:rPr>
          <w:b w:val="0"/>
          <w:i w:val="0"/>
          <w:sz w:val="20"/>
        </w:rPr>
        <w:t xml:space="preserve"> — максимум перемещения форкамеры за 0–200 мс, мм;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полн</m:t>
            </m:r>
          </m:sub>
        </m:sSub>
      </m:oMath>
      <w:r>
        <w:rPr>
          <w:b w:val="0"/>
          <w:i w:val="0"/>
          <w:sz w:val="20"/>
        </w:rPr>
        <w:t xml:space="preserve"> — полный откат, мм; </w:t>
      </w:r>
      <m:oMath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170</m:t>
            </m:r>
          </m:sub>
        </m:sSub>
      </m:oMath>
      <w:r>
        <w:rPr>
          <w:b w:val="0"/>
          <w:i w:val="0"/>
          <w:sz w:val="20"/>
        </w:rPr>
        <w:t xml:space="preserve"> — амплитуда колебаний при 170–200 мс, мм;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  <w:sz w:val="20"/>
        </w:rPr>
        <w:t xml:space="preserve"> — максимальное усилие в стыке ПС3–ФК, МН. Схема 2-1-1: две пары на ЗК (двойное усилие S1), одна на муфте ПС2–ПС3 и одна на ФК.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1. Быструю фазу (до ≈ 75 мс) тормоза практически не меняют: газодинамические силы порядка 2 МН на два порядка превышают тормозные. Поэтому перемещение форкамеры не опускается ниже ≈ 11 мм даже при 200 кН. Регулируемым является только остаточный откат: полный откат уменьшается с 40,3 мм без тормозов до 18,3 мм при 30 кН, 11,2 мм при 100 кН и 8,0 мм при 200 кН (равномерная схема).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2. При одинаковом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схема влияет на результат в соответствии с (17)–(19). При 30 кН исключение узловой станции S3 увеличивает полный откат с 18,3 до 23,2 мм (+27 %). Концевая схема S1 + S5 даёт наибольший откат (24,4 мм), но наилучшее гашение колебаний. Узловая схема S2–S3–S4 даёт наименьший откат (16,8 мм), но наихудшее гашение.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3. Максимальное усилие в стыке ПС3–ФК без тормозов равно 3,17 МН, с тормозами — 2,79–3,15 МН; размах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</w:rPr>
        <w:t xml:space="preserve"> уменьшается с 0,252 до 0,217–0,250 мм. Тормоза не увеличивают нагрузку стыка, а несколько снижают её за счёт гашения колебаний. Квазистатическая составляющая от торможения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nary>
          <m:naryPr>
            <m:chr m:val="∑"/>
            <m:limLoc m:val="undOvr"/>
            <m:supHide m:val="1"/>
          </m:naryPr>
          <m:sub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&gt;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nary>
        <m:r>
          <w:rPr>
            <w:rFonts w:ascii="Cambria Math" w:hAnsi="Cambria Math"/>
          </w:rPr>
          <m:t xml:space="preserve">−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M</m:t>
            </m:r>
          </m:den>
        </m:f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M</m:t>
            </m:r>
          </m:den>
        </m:f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394</m:t>
        </m:r>
        <m:r>
          <w:rPr>
            <w:rFonts w:ascii="Cambria Math" w:hAnsi="Cambria Math"/>
          </w:rPr>
          <m:t xml:space="preserve">,</m:t>
        </m:r>
      </m:oMath>
      <w:r>
        <w:tab/>
        <w:t>(22)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для равномерной схемы составляет </w:t>
      </w:r>
      <m:oMath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006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, для рекомендуемой — </w:t>
      </w:r>
      <m:oMath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37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, т.е. не более 22 кН при 60 кН, или 0,7 % динамического усилия. Следовательно, рост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в опытах 2–3 (с 0,81 до 1,10–1,20 мм) тормозами не объясняется. Вероятные причины — разброс газодинамического нагружения и нерегулярные контактные явления в соединении (раздел 2.5).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161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1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 xml:space="preserve">Рисунок 11 – Компромисс «полный откат — остаточные колебания»: а —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  <w:sz w:val="22"/>
        </w:rPr>
        <w:t xml:space="preserve"> = 30 кН; б —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  <w:sz w:val="22"/>
        </w:rPr>
        <w:t xml:space="preserve"> = 100 кН (номера — по таблице 7; ★ — рекомендуемая схема, ◆ — оптимум задачи (23) при 30 кН)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7.3. Выбор относительных уровней затяжки.</w:t>
      </w:r>
      <w:r>
        <w:rPr>
          <w:b w:val="0"/>
          <w:i w:val="0"/>
        </w:rPr>
        <w:t xml:space="preserve"> Относительные усилия станций </w:t>
      </w:r>
      <m:oMath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выбирались из условия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 xml:space="preserve">w</m:t>
            </m:r>
          </m:sub>
        </m:sSub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полн</m:t>
            </m:r>
          </m:sub>
        </m:sSub>
        <m:r>
          <w:rPr>
            <w:rFonts w:ascii="Cambria Math" w:hAnsi="Cambria Math"/>
          </w:rPr>
          <m:t xml:space="preserve">(</m:t>
        </m:r>
        <m:r>
          <m:rPr>
            <m:sty m:val="b"/>
          </m:rP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r>
          <m:rPr>
            <m:sty m:val="p"/>
          </m:rPr>
          <w:rPr>
            <w:rFonts w:ascii="Cambria Math" w:hAnsi="Cambria Math"/>
          </w:rPr>
          <m:t xml:space="preserve">при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170</m:t>
            </m:r>
          </m:sub>
        </m:sSub>
        <m:r>
          <w:rPr>
            <w:rFonts w:ascii="Cambria Math" w:hAnsi="Cambria Math"/>
          </w:rPr>
          <m:t xml:space="preserve">(</m:t>
        </m:r>
        <m:r>
          <m:rPr>
            <m:sty m:val="b"/>
          </m:rP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≤</m:t>
        </m:r>
        <m:sSubSup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170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равн</m:t>
            </m:r>
          </m:sup>
        </m:sSubSup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j</m:t>
            </m:r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nary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</m:oMath>
      <w:r>
        <w:tab/>
        <w:t>(23)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т.е. минимизировался откат при гашении колебаний не хуже, чем у равномерной схемы (метод Нелдера–Мида, 70 прямых расчётов). При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30 кН получено </w:t>
      </w:r>
      <m:oMath>
        <m:r>
          <m:rPr>
            <m:sty m:val="b"/>
          </m:rPr>
          <w:rPr>
            <w:rFonts w:ascii="Cambria Math" w:hAnsi="Cambria Math"/>
          </w:rPr>
          <m:t xml:space="preserve">w</m:t>
        </m:r>
      </m:oMath>
      <w:r>
        <w:rPr>
          <w:b w:val="0"/>
          <w:i w:val="0"/>
        </w:rPr>
        <w:t xml:space="preserve"> = (0,56; 0,01; 0,43; 0; 0) и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полн</m:t>
            </m:r>
          </m:sub>
        </m:sSub>
      </m:oMath>
      <w:r>
        <w:rPr>
          <w:b w:val="0"/>
          <w:i w:val="0"/>
        </w:rPr>
        <w:t xml:space="preserve"> = 16,2 мм вместо 18,3 мм (−11,5 %). При 60 кН получено </w:t>
      </w:r>
      <m:oMath>
        <m:r>
          <m:rPr>
            <m:sty m:val="b"/>
          </m:rPr>
          <w:rPr>
            <w:rFonts w:ascii="Cambria Math" w:hAnsi="Cambria Math"/>
          </w:rPr>
          <m:t xml:space="preserve">w</m:t>
        </m:r>
      </m:oMath>
      <w:r>
        <w:rPr>
          <w:b w:val="0"/>
          <w:i w:val="0"/>
        </w:rPr>
        <w:t xml:space="preserve"> = (0,48; 0,18; 0,32; 0,01; 0,01) и 13,2 мм вместо 14,1 мм (−6,3 %). Оптимум сочетает пучность S1 (гашение) и узел S3 (остановка отката) в соответствии с (17)–(19). Распределение, найденное для 60 кН, сохраняет преимущество во всём диапазоне 10–200 кН (рисунок 10). При 60 кН усилия пар составляют 28,9; 10,9 и 19,0 кН. Для 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0,8…0,3 это соответствует сжатию пакетов на S1 1,06–2,83 мм, на S2 0,40–1,07 мм, на S3 0,70–1,86 мм, т.е. не более 0,67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>. Точные уставки требуют калибровки.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3973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meh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9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12 – Временные процессы: а — перемещение форкамеры до 600 мс; б — усилие в стыке ПС3–ФК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Энергетически при 100 кН тормоза поглощают 5,1 кДж из 11,9 кДж работы нагрузок (43 %), при 30 кН — 2,2 кДж (19 %), при рекомендуемой схеме и 60 кН — 3,6 кДж (31 %). Остальное рассеивается в конструкции и опорах. При усилиях выше ≈ 50 кН основная роль тормозов — гашение колебаний.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8. Обсуждение и ограничения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Основные количественные результаты и способ их проверки сведены в таблицу 8.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8 – Основные результаты и способ их проверки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005"/>
        <w:gridCol w:w="3345"/>
        <w:gridCol w:w="3288"/>
      </w:tblGrid>
      <w:tr>
        <w:trPr>
          <w:cantSplit/>
          <w:tblHeader/>
        </w:trPr>
        <w:tc>
          <w:tcPr>
            <w:tcW w:type="dxa" w:w="300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8"/>
              </w:rPr>
              <w:t>Результат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8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8"/>
              </w:rPr>
              <w:t>Метод / независимая проверка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Масса подвижной части, центр масс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 xml:space="preserve">17 911 кг;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</m:t>
                  </m:r>
                </m:sub>
              </m:sSub>
            </m:oMath>
            <w:r>
              <w:rPr>
                <w:b w:val="0"/>
                <w:i w:val="0"/>
                <w:sz w:val="18"/>
              </w:rPr>
              <w:t xml:space="preserve"> = 14,51 м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суммирование по 1789 деталям 3D-модели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Первая продольная частота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 xml:space="preserve">69,0 Гц (жёсткие стыки); 64,2 Гц при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8"/>
              </w:rPr>
              <w:t xml:space="preserve"> = 12–28 ГН/м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КЭ-модель (7), (8); эксперимент 64,18 ± 0,04 Гц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Затухание первой формы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</m:oMath>
            <w:r>
              <w:rPr>
                <w:b w:val="0"/>
                <w:i w:val="0"/>
                <w:sz w:val="18"/>
              </w:rPr>
              <w:t xml:space="preserve"> = 5,98 ± 0,24 с⁻¹, </w:t>
            </w:r>
            <m:oMath>
              <m:r>
                <w:rPr>
                  <w:rFonts w:ascii="Cambria Math" w:hAnsi="Cambria Math"/>
                </w:rPr>
                <m:t xml:space="preserve">ζ</m:t>
              </m:r>
            </m:oMath>
            <w:r>
              <w:rPr>
                <w:b w:val="0"/>
                <w:i w:val="0"/>
                <w:sz w:val="18"/>
              </w:rPr>
              <w:t xml:space="preserve"> = 0,0148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модель (1)–(2), опыт 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Асимметрия полупериодов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1,50 мс (расчёт), 1,65 мс (опыт)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формула (5)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Полный откат без тормозов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35–50 мм (к 200 мс — 23 мм)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модель (10)–(12); дрейф 0,085 м/с при 200 мс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Импульсы нагрузки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  <w:r>
              <w:rPr>
                <w:b w:val="0"/>
                <w:i w:val="0"/>
                <w:sz w:val="18"/>
              </w:rPr>
              <w:t xml:space="preserve"> = 12,5 кН·с,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  <w:r>
              <w:rPr>
                <w:b w:val="0"/>
                <w:i w:val="0"/>
                <w:sz w:val="18"/>
              </w:rPr>
              <w:t xml:space="preserve"> = 10,5 кН·с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идентификация (12); отметка D1, момент вылета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Жёсткость тормоза по нормальной силе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17,0 кН на 1 мм сжатия пакетов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формулы (13)–(15)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Эффективное усилие в опытах 2–3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30–37 кН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прямое моделирование при одинаковом нагружении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Усилие в стыке ПС3–ФК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3,1 МН; добавка от тормозов ≤ 0,7 %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модель (20)–(22)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Рекомендуемое распределение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 xml:space="preserve">S1 : S2 : S3 ≈ 0,48 : 0,18 : 0,32 при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 w:val="0"/>
                <w:i w:val="0"/>
                <w:sz w:val="18"/>
              </w:rPr>
              <w:t xml:space="preserve"> ≥ 60 кН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задача (23); энергобаланс ≤ 5·10⁻⁴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>Ограничения работы: 1) массы определены по 3D-модели при принятой плотности; 2) модель одномерная продольная, поперечно-поворотная составляющая (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b w:val="0"/>
          <w:i w:val="0"/>
        </w:rPr>
        <w:t xml:space="preserve">) и изгиб не описываются; 3) нагрузки эквивалентные, а не измеренные давления; 4) коэффициенты трения не определялись, принят закон Кулона с постоянным </w:t>
      </w:r>
      <m:oMath>
        <m:r>
          <w:rPr>
            <w:rFonts w:ascii="Cambria Math" w:hAnsi="Cambria Math"/>
          </w:rPr>
          <m:t xml:space="preserve">μ</m:t>
        </m:r>
      </m:oMath>
      <w:r>
        <w:rPr>
          <w:b w:val="0"/>
          <w:i w:val="0"/>
        </w:rPr>
        <w:t>; 5) для опытов 2–3 использованы только максимальные значения, каждая конфигурация испытана одним выстрелом.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Для проверки выводов рекомендуется следующая программа: статическая тарировка «деления — нормальная сила» динамометром и протяжка тормоза для определения 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; запись не короче 0,8 с; не менее трёх выстрелов на конфигурацию с контролем импульса (давление D1); дополнительные марки у S1, S3, S5 и у дульного среза для измерения формы колебаний; две конфигурации — равномерная (5 пар) и рекомендуемая (S1–S3) — при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≈ 60 кН.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Заключение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1. Построена прослеживаемая модель установки по 3D-модели: масса подвижной части 17 911 кг, центр масс при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14,51 м, распределения </w:t>
      </w:r>
      <m:oMath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и </w:t>
      </w:r>
      <m:oMath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>. Одномерная КЭ-модель независимо от эксперимента даёт первую продольную частоту 69,0 Гц при жёстких стыках. Измеренные 64,18 ± 0,04 Гц и коэффициент передачи на базе марок воспроизводятся при жёсткости стыков 12–28 ГН/м. Наблюдаемые колебания — первая продольная форма всей установки с узлом у муфты ПС2–ПС3.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2. Обработка опыта 1 дала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 = 5,98 ± 0,24 с⁻¹ и </w:t>
      </w:r>
      <m:oMath>
        <m:r>
          <w:rPr>
            <w:rFonts w:ascii="Cambria Math" w:hAnsi="Cambria Math"/>
          </w:rPr>
          <m:t xml:space="preserve">ζ</m:t>
        </m:r>
      </m:oMath>
      <w:r>
        <w:rPr>
          <w:b w:val="0"/>
          <w:i w:val="0"/>
        </w:rPr>
        <w:t xml:space="preserve"> = 0,0148 ± 0,0006. Асимметрия полупериодов объяснена наложением колебаний на дрейф. Установлено, что к 200 мс откат не завершён: 23 мм — перемещение к концу записи, расчётный полный откат составляет 35–50 мм.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3. Восстановлены эквивалентные газодинамические импульсы 12,5 кН·с (казённая часть, начало 47,9 мс, совпадает с отметкой D1) и 10,5 кН·с (форкамера, максимум у момента вылета). Остаточный импульс около 2 кН·с — малая разность больших величин. Поэтому одиночные выстрелы не позволяют отделить эффект тормозов от разброса нагружения на уровне 6–7 % импульса.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4. Штатный тормоз развивает нормальную силу 17,0 кН на 1 мм сжатия пакетов, его тормозная способность при </w:t>
      </w:r>
      <m:oMath>
        <m:r>
          <w:rPr>
            <w:rFonts w:ascii="Cambria Math" w:hAnsi="Cambria Math"/>
          </w:rPr>
          <m:t xml:space="preserve">s</m:t>
        </m:r>
      </m:oMath>
      <w:r>
        <w:rPr>
          <w:b w:val="0"/>
          <w:i w:val="0"/>
        </w:rPr>
        <w:t xml:space="preserve"> = 0,5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составляет 103–276 кН на установку (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0,3–0,8). В опытах 2–3 эффективное усилие (при одинаковом нагружении) составило 30–37 кН, т.е. пакеты были сжаты лишь на 0,2–0,7 мм.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5. Получены коэффициенты (17)–(19) эффективности сухого трения при наложении колебаний на откат. Станция в узле первой формы (S3) эффективна для остановки отката, станции в пучностях (S1, S5) — для гашения колебаний. Эти коэффициенты служат физически обоснованным критерием выбора мест установки тормозов.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6. Тормоза не увеличивают усилие в стыке ПС3–ФК: квазистатическая добавка (22) не превышает 0,7 % динамического усилия 3,1 МН, а гашение колебаний снижает его до 12 %. Рост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в опытах 2–3 следует связывать с разбросом нагружения и контактными явлениями в соединении.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7. Прямым моделированием с энергобалансом обоснована схема затяжки S1 : S2 : S3 ≈ 0,48 : 0,18 : 0,32 при суммарном усилии не менее 60 кН. Она уменьшает полный откат на 6–12 % относительно равномерной схемы при том же гашении колебаний, а при 60–100 кН ограничивает откат 11–13 мм. Схема имеет статус расчётной рекомендации и подлежит проверке по предложенной программе испытаний.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Список литературы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1. Серебряков М. Е. Внутренняя баллистика ствольных систем и пороховых ракет. — 3-е изд., перераб. и доп. — М.: Оборонгиз, 1962. — 703 с.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2. Seigel A. E. The theory of high speed guns. — AGARDograph 91. — Paris: NATO AGARD, 1965.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3. Crozier W. D., Hume W. High-velocity, light-gas gun // Journal of Applied Physics. — 1957. — Vol. 28, No. 8. — P. 892–894.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4. Бидерман В. Л. Теория механических колебаний. — М.: Высшая школа, 1980. — 408 с.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5. Пановко Я. Г., Губанова И. И. Устойчивость и колебания упругих систем. — М.: Наука, 1979. — 384 с.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6. Den Hartog J. P. Forced vibrations with combined Coulomb and viscous friction // Transactions of the ASME. — 1931. — Vol. 53. — P. 107–115.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7. Крагельский И. В., Добычин М. Н., Комбалов В. С. Основы расчётов на трение и износ. — М.: Машиностроение, 1977.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8. Olsson H., Åström K. J., Canudas de Wit C., Gäfvert M., Lischinsky P. Friction models and friction compensation // European Journal of Control. — 1998. — Vol. 4, No. 3. — P. 176–195.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9. Almen J. O., László A. The uniform-section disk spring // Transactions of the ASME. — 1936. — Vol. 58. — P. 305–314.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10. ГОСТ 3057-90. Пружины тарельчатые. Общие технические условия.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11. EN 16984:2017. Disc springs — Calculation.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12. Bathe K.-J. Finite element procedures. — Englewood Cliffs: Prentice Hall, 1996.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13. Clough R. W., Penzien J. Dynamics of structures. — 2nd ed. — New York: McGraw-Hill, 1993.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14. Ewins D. J. Modal testing: theory, practice and application. — 2nd ed. — Baldock: Research Studies Press, 2000.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15. Sutton M. A., Orteu J.-J., Schreier H. W. Image correlation for shape, motion and deformation measurements. — New York: Springer, 2009.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16. Вибрации в технике: справочник: в 6 т. / под ред. В. Н. Челомея. — М.: Машиностроение, 1978–1981.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rFonts w:ascii="Times New Roman" w:hAnsi="Times New Roman"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autoHyphenation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Times New Roman" w:hAnsi="Times New Roman" w:cs="Times New Roman" w:eastAsia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