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1EC9B" w14:textId="77777777" w:rsidR="00B73E3A" w:rsidRPr="00E96410" w:rsidRDefault="00480658" w:rsidP="00B73E3A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Актуальність впровадження моніторингу роботи ФЕС</w:t>
      </w:r>
    </w:p>
    <w:p w14:paraId="343ECE5A" w14:textId="77777777" w:rsidR="00736CC8" w:rsidRDefault="00EB5DC2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410">
        <w:rPr>
          <w:rFonts w:ascii="Times New Roman" w:hAnsi="Times New Roman" w:cs="Times New Roman"/>
          <w:sz w:val="28"/>
          <w:szCs w:val="28"/>
          <w:lang w:val="uk-UA"/>
        </w:rPr>
        <w:t>Характерною прикметою сучасної енергетики України є рух в напрям</w:t>
      </w:r>
      <w:r w:rsidR="00E96410" w:rsidRPr="00E9641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у розвитку екологічно чистої енергетики на основі нетрадиційних та відновлюваних джерел енергії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 (надалі НВДЕ)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На сьогоднішній день основними напрям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ами освоєння енергоресурсів НВДЕ в </w:t>
      </w:r>
      <w:r w:rsidR="00DD7D46" w:rsidRPr="00E96410">
        <w:rPr>
          <w:rFonts w:ascii="Times New Roman" w:hAnsi="Times New Roman" w:cs="Times New Roman"/>
          <w:sz w:val="28"/>
          <w:szCs w:val="28"/>
          <w:lang w:val="uk-UA"/>
        </w:rPr>
        <w:t xml:space="preserve">Україні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є сонячна фото- та теплоенергетика,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теплоенергетика з використанням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енергії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геотермальних ресурсів та біопалива, використання кінетичної енергії вітру та малих річок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. Але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розглянувши динаміку будівництва електростанцій ВДЕ (табл. 1.1.1.),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можна чітко виділити, що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>саме сонячна фотоенергетика отримала найбільшого поширення на території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сучасної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України. Це, насамперед, є наслідком декількох факторів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: доступність енергоресурсу у всіх регіонах країни, можливість приватного встановлення, простота</w:t>
      </w:r>
      <w:r w:rsidR="000E2308">
        <w:rPr>
          <w:rFonts w:ascii="Times New Roman" w:hAnsi="Times New Roman" w:cs="Times New Roman"/>
          <w:sz w:val="28"/>
          <w:szCs w:val="28"/>
          <w:lang w:val="uk-UA"/>
        </w:rPr>
        <w:t xml:space="preserve"> і ефективність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в експлуатації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73B5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>отоенергетичне</w:t>
      </w:r>
      <w:proofErr w:type="spellEnd"/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 може достатньо ефективно експлуатуватися на протязі всього року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максимально ефективно протягом 7 місяців на рік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– з квітня по жовтень)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, впровадження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різноманітних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економічних заохочувань з боку держави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. Так, наприклад, у 2013 році був прийнятий, а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впроваджений закон щодо стимулювання виробництва </w:t>
      </w:r>
      <w:r w:rsidR="006000A8" w:rsidRPr="006000A8">
        <w:rPr>
          <w:rFonts w:ascii="Times New Roman" w:hAnsi="Times New Roman" w:cs="Times New Roman"/>
          <w:sz w:val="28"/>
          <w:szCs w:val="28"/>
          <w:lang w:val="uk-UA"/>
        </w:rPr>
        <w:t>електроенергії з альтернативних джерел енергії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>шляхом підвищення вартості закупівлі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електроенергії, генерованої з використанням ресурсів ВДЕ, так званий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«зелен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ий тариф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. Ці всі фактори призвели до різкого зростання кількості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приватних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малих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так 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великих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фотоелектростанцій. </w:t>
      </w:r>
    </w:p>
    <w:p w14:paraId="687F1694" w14:textId="77777777" w:rsidR="00970950" w:rsidRDefault="00970950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0950">
        <w:rPr>
          <w:rFonts w:ascii="Times New Roman" w:hAnsi="Times New Roman" w:cs="Times New Roman"/>
          <w:b/>
          <w:sz w:val="28"/>
          <w:szCs w:val="28"/>
          <w:lang w:val="uk-UA"/>
        </w:rPr>
        <w:t>Таблиця 1.1.1.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Динаміка будівництва електростанцій ВДЕ 2011-2015 рр.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1494"/>
        <w:gridCol w:w="1494"/>
        <w:gridCol w:w="1495"/>
        <w:gridCol w:w="1495"/>
        <w:gridCol w:w="1379"/>
        <w:gridCol w:w="1379"/>
      </w:tblGrid>
      <w:tr w:rsidR="00970950" w14:paraId="329C4A81" w14:textId="77777777" w:rsidTr="00094A17">
        <w:trPr>
          <w:jc w:val="center"/>
        </w:trPr>
        <w:tc>
          <w:tcPr>
            <w:tcW w:w="1377" w:type="dxa"/>
            <w:vMerge w:val="restart"/>
            <w:vAlign w:val="center"/>
          </w:tcPr>
          <w:p w14:paraId="6E921B55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станції</w:t>
            </w:r>
          </w:p>
        </w:tc>
        <w:tc>
          <w:tcPr>
            <w:tcW w:w="7357" w:type="dxa"/>
            <w:gridSpan w:val="5"/>
            <w:vAlign w:val="center"/>
          </w:tcPr>
          <w:p w14:paraId="762F7779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Роки / приріст генерованої потужності, </w:t>
            </w:r>
            <w:proofErr w:type="spellStart"/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379" w:type="dxa"/>
            <w:vMerge w:val="restart"/>
            <w:vAlign w:val="center"/>
          </w:tcPr>
          <w:p w14:paraId="160756DE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Середній приріст</w:t>
            </w:r>
          </w:p>
        </w:tc>
      </w:tr>
      <w:tr w:rsidR="00970950" w14:paraId="271447D7" w14:textId="77777777" w:rsidTr="00970950">
        <w:trPr>
          <w:jc w:val="center"/>
        </w:trPr>
        <w:tc>
          <w:tcPr>
            <w:tcW w:w="1377" w:type="dxa"/>
            <w:vMerge/>
            <w:vAlign w:val="center"/>
          </w:tcPr>
          <w:p w14:paraId="30E3181F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94" w:type="dxa"/>
            <w:vAlign w:val="center"/>
          </w:tcPr>
          <w:p w14:paraId="13212E43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2011</w:t>
            </w:r>
          </w:p>
        </w:tc>
        <w:tc>
          <w:tcPr>
            <w:tcW w:w="1494" w:type="dxa"/>
            <w:vAlign w:val="center"/>
          </w:tcPr>
          <w:p w14:paraId="7AF8816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2012</w:t>
            </w:r>
          </w:p>
        </w:tc>
        <w:tc>
          <w:tcPr>
            <w:tcW w:w="1495" w:type="dxa"/>
            <w:vAlign w:val="center"/>
          </w:tcPr>
          <w:p w14:paraId="2A883331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2013</w:t>
            </w:r>
          </w:p>
        </w:tc>
        <w:tc>
          <w:tcPr>
            <w:tcW w:w="1495" w:type="dxa"/>
            <w:vAlign w:val="center"/>
          </w:tcPr>
          <w:p w14:paraId="4620A742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2014</w:t>
            </w:r>
          </w:p>
        </w:tc>
        <w:tc>
          <w:tcPr>
            <w:tcW w:w="1379" w:type="dxa"/>
          </w:tcPr>
          <w:p w14:paraId="6DBD5B4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2015</w:t>
            </w:r>
          </w:p>
        </w:tc>
        <w:tc>
          <w:tcPr>
            <w:tcW w:w="1379" w:type="dxa"/>
            <w:vMerge/>
            <w:vAlign w:val="center"/>
          </w:tcPr>
          <w:p w14:paraId="1462A30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70950" w14:paraId="2DF8A33F" w14:textId="77777777" w:rsidTr="00970950">
        <w:trPr>
          <w:jc w:val="center"/>
        </w:trPr>
        <w:tc>
          <w:tcPr>
            <w:tcW w:w="1377" w:type="dxa"/>
            <w:vAlign w:val="center"/>
          </w:tcPr>
          <w:p w14:paraId="5014BAD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СЕС</w:t>
            </w:r>
          </w:p>
        </w:tc>
        <w:tc>
          <w:tcPr>
            <w:tcW w:w="1494" w:type="dxa"/>
            <w:vAlign w:val="center"/>
          </w:tcPr>
          <w:p w14:paraId="46511C6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140,9</w:t>
            </w:r>
          </w:p>
        </w:tc>
        <w:tc>
          <w:tcPr>
            <w:tcW w:w="1494" w:type="dxa"/>
            <w:vAlign w:val="center"/>
          </w:tcPr>
          <w:p w14:paraId="30BC7CA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70,2</w:t>
            </w:r>
          </w:p>
        </w:tc>
        <w:tc>
          <w:tcPr>
            <w:tcW w:w="1495" w:type="dxa"/>
            <w:vAlign w:val="center"/>
          </w:tcPr>
          <w:p w14:paraId="4A061011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111,7</w:t>
            </w:r>
          </w:p>
        </w:tc>
        <w:tc>
          <w:tcPr>
            <w:tcW w:w="1495" w:type="dxa"/>
            <w:vAlign w:val="center"/>
          </w:tcPr>
          <w:p w14:paraId="65A34560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379" w:type="dxa"/>
          </w:tcPr>
          <w:p w14:paraId="43A94E9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1379" w:type="dxa"/>
            <w:vAlign w:val="center"/>
          </w:tcPr>
          <w:p w14:paraId="5139B59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65,9</w:t>
            </w:r>
          </w:p>
        </w:tc>
      </w:tr>
      <w:tr w:rsidR="00970950" w14:paraId="1DE90BF9" w14:textId="77777777" w:rsidTr="00970950">
        <w:trPr>
          <w:jc w:val="center"/>
        </w:trPr>
        <w:tc>
          <w:tcPr>
            <w:tcW w:w="1377" w:type="dxa"/>
            <w:vAlign w:val="center"/>
          </w:tcPr>
          <w:p w14:paraId="369B7A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ВЕС</w:t>
            </w:r>
          </w:p>
        </w:tc>
        <w:tc>
          <w:tcPr>
            <w:tcW w:w="1494" w:type="dxa"/>
            <w:vAlign w:val="center"/>
          </w:tcPr>
          <w:p w14:paraId="05BB7A8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14,6</w:t>
            </w:r>
          </w:p>
        </w:tc>
        <w:tc>
          <w:tcPr>
            <w:tcW w:w="1494" w:type="dxa"/>
            <w:vAlign w:val="center"/>
          </w:tcPr>
          <w:p w14:paraId="04586E4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78,8</w:t>
            </w:r>
          </w:p>
        </w:tc>
        <w:tc>
          <w:tcPr>
            <w:tcW w:w="1495" w:type="dxa"/>
            <w:vAlign w:val="center"/>
          </w:tcPr>
          <w:p w14:paraId="4F8C50F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43,7</w:t>
            </w:r>
          </w:p>
        </w:tc>
        <w:tc>
          <w:tcPr>
            <w:tcW w:w="1495" w:type="dxa"/>
            <w:vAlign w:val="center"/>
          </w:tcPr>
          <w:p w14:paraId="550B217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8,7</w:t>
            </w:r>
          </w:p>
        </w:tc>
        <w:tc>
          <w:tcPr>
            <w:tcW w:w="1379" w:type="dxa"/>
          </w:tcPr>
          <w:p w14:paraId="2710D217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1379" w:type="dxa"/>
            <w:vAlign w:val="center"/>
          </w:tcPr>
          <w:p w14:paraId="4B5884B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29,42</w:t>
            </w:r>
          </w:p>
        </w:tc>
      </w:tr>
      <w:tr w:rsidR="00970950" w14:paraId="2A264052" w14:textId="77777777" w:rsidTr="00970950">
        <w:trPr>
          <w:jc w:val="center"/>
        </w:trPr>
        <w:tc>
          <w:tcPr>
            <w:tcW w:w="1377" w:type="dxa"/>
            <w:vAlign w:val="center"/>
          </w:tcPr>
          <w:p w14:paraId="107D03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-ЕС</w:t>
            </w:r>
          </w:p>
        </w:tc>
        <w:tc>
          <w:tcPr>
            <w:tcW w:w="1494" w:type="dxa"/>
            <w:vAlign w:val="center"/>
          </w:tcPr>
          <w:p w14:paraId="27003B55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4,9</w:t>
            </w:r>
          </w:p>
        </w:tc>
        <w:tc>
          <w:tcPr>
            <w:tcW w:w="1494" w:type="dxa"/>
            <w:vAlign w:val="center"/>
          </w:tcPr>
          <w:p w14:paraId="4EF1068B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495" w:type="dxa"/>
            <w:vAlign w:val="center"/>
          </w:tcPr>
          <w:p w14:paraId="0F94D419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495" w:type="dxa"/>
            <w:vAlign w:val="center"/>
          </w:tcPr>
          <w:p w14:paraId="5B996F23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379" w:type="dxa"/>
          </w:tcPr>
          <w:p w14:paraId="28498A6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3,8</w:t>
            </w:r>
          </w:p>
        </w:tc>
        <w:tc>
          <w:tcPr>
            <w:tcW w:w="1379" w:type="dxa"/>
            <w:vAlign w:val="center"/>
          </w:tcPr>
          <w:p w14:paraId="285042F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4,7</w:t>
            </w:r>
          </w:p>
        </w:tc>
      </w:tr>
    </w:tbl>
    <w:p w14:paraId="187E58EB" w14:textId="77777777" w:rsidR="00EB5DC2" w:rsidRDefault="00282301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Зростання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потужностней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генерації 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електроенергії на основі фотоенергетики має як позитивні, так і негативні наслідки.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ще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="00564CBE">
        <w:rPr>
          <w:rFonts w:ascii="Times New Roman" w:hAnsi="Times New Roman" w:cs="Times New Roman"/>
          <w:sz w:val="28"/>
          <w:szCs w:val="28"/>
          <w:lang w:val="uk-UA"/>
        </w:rPr>
        <w:t>недавн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території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Украйни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 цілому переважали автономні фотоелектростанції, адже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в більшості випадків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проектувались лише для віддалених споживачів, до яких не було змоги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прокладати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довгі транзитні лінії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чи це було недоцільно з фінансової точки зору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Перевагою впровадження таких електростанцій є те, що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зменшується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споживачів об’єднаної енергосистеми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(надалі ОЕС) України, завдяки чому згладжується добовий графік навантаження системи в цілому.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Але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кономічні стимул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ювання з боку держави призвели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 до поступового зменшення кількості автономних і збільшення саме мережевих фотоелектростанцій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– станцій, які націлені саме на продаж електроенергії у мережу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. З одного боку це доволі позитивне явище, так як споживання росте з кожним роком з експоненціальними темпами, а напрямок генерації «зеленої» енергії для держави є пріоритетним.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 xml:space="preserve">з іншого боку,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дані зміни можуть погано вплинути на сьогоденну ОЕС України в цілому, адже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згідно діючих на сьогоднішній день нормативних документів сонячні електростанції (надалі СЕС) не враховуються в балансі потужності при короткотерміновому прогнозуванні. Тобто зростання кількості та </w:t>
      </w:r>
      <w:proofErr w:type="spellStart"/>
      <w:r w:rsidR="00A15170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 мережевих СЕС призведе до необхідності збільшення величини вторинного та третинного регулювання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частоти і потужності електроенергії</w:t>
      </w:r>
      <w:r w:rsidR="00B73B5B" w:rsidRPr="00B73B5B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, що в свою чергу потребує додаткових капіталовкладень збоку держави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65BC0" w:rsidRPr="00C65B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BC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C65BC0" w:rsidRPr="00C65BC0">
        <w:rPr>
          <w:rFonts w:ascii="Times New Roman" w:hAnsi="Times New Roman" w:cs="Times New Roman"/>
          <w:sz w:val="28"/>
          <w:szCs w:val="28"/>
          <w:lang w:val="uk-UA"/>
        </w:rPr>
        <w:t xml:space="preserve">даний момент в Україні у 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вторинному регулюванні приймає участь лише одна гідроелектростанція (надалі ГЕС) – Дніпровська ГЕС-1, резерв активної потужності якої складає 432 </w:t>
      </w:r>
      <w:proofErr w:type="spellStart"/>
      <w:r w:rsidR="00C65BC0">
        <w:rPr>
          <w:rFonts w:ascii="Times New Roman" w:hAnsi="Times New Roman" w:cs="Times New Roman"/>
          <w:sz w:val="28"/>
          <w:szCs w:val="28"/>
          <w:lang w:val="uk-UA"/>
        </w:rPr>
        <w:t>МВт</w:t>
      </w:r>
      <w:proofErr w:type="spellEnd"/>
      <w:r w:rsidR="00C65BC0">
        <w:rPr>
          <w:rFonts w:ascii="Times New Roman" w:hAnsi="Times New Roman" w:cs="Times New Roman"/>
          <w:sz w:val="28"/>
          <w:szCs w:val="28"/>
          <w:lang w:val="uk-UA"/>
        </w:rPr>
        <w:t>. Навіть за умов участі у автоматичному регулюванні ГЕС Дніпровського каскаду та Дністровської ГЕС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 регульований діапазон цих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станцій складає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лише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797,4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МВт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>, що є недостатнім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. В той же час теплові електростанції участі у вторинному регулюванні частоти практично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не приймають, забезпечуючи в основному базову частину графіку навантаження і впроваджуючи третинне регулювання. Отже, при участі в регулюванні частоти лише ГЕС, в умовах введення в експлуатацію великих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ЕС, розподіл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регульованої та генерованої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буде несумірним.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Тобто, з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більшення потужності генерації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>ЕС без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призведе до надлишку активної потужності в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одні години, та просідання потужності в інші, збільшення коливань частоти в цілому та можливого невиконання узгоджених графіків міждержавних </w:t>
      </w:r>
      <w:proofErr w:type="spellStart"/>
      <w:r w:rsidR="00A434E4">
        <w:rPr>
          <w:rFonts w:ascii="Times New Roman" w:hAnsi="Times New Roman" w:cs="Times New Roman"/>
          <w:sz w:val="28"/>
          <w:szCs w:val="28"/>
          <w:lang w:val="uk-UA"/>
        </w:rPr>
        <w:t>перетоків</w:t>
      </w:r>
      <w:proofErr w:type="spellEnd"/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. Крім того, запланована паралельна робота ОЕС України з </w:t>
      </w:r>
      <w:proofErr w:type="spellStart"/>
      <w:r w:rsidR="00A434E4">
        <w:rPr>
          <w:rFonts w:ascii="Times New Roman" w:hAnsi="Times New Roman" w:cs="Times New Roman"/>
          <w:sz w:val="28"/>
          <w:szCs w:val="28"/>
          <w:lang w:val="uk-UA"/>
        </w:rPr>
        <w:t>енергооб’єднанням</w:t>
      </w:r>
      <w:proofErr w:type="spellEnd"/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країн Західної Європи </w:t>
      </w:r>
      <w:r w:rsidR="00A434E4">
        <w:rPr>
          <w:rFonts w:ascii="Times New Roman" w:hAnsi="Times New Roman" w:cs="Times New Roman"/>
          <w:sz w:val="28"/>
          <w:szCs w:val="28"/>
        </w:rPr>
        <w:t>ENTSO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434E4">
        <w:rPr>
          <w:rFonts w:ascii="Times New Roman" w:hAnsi="Times New Roman" w:cs="Times New Roman"/>
          <w:sz w:val="28"/>
          <w:szCs w:val="28"/>
        </w:rPr>
        <w:t>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434E4">
        <w:rPr>
          <w:rFonts w:ascii="Times New Roman" w:hAnsi="Times New Roman" w:cs="Times New Roman"/>
          <w:sz w:val="28"/>
          <w:szCs w:val="28"/>
        </w:rPr>
        <w:t>the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European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Network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of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Transmission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System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Operators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for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Electricity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Європейська спілка операторів магістральних мереж в галузі електроенергетики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також посилює вимоги до якості регулювання частоти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і потужності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до європейських стандартів</w:t>
      </w:r>
      <w:r w:rsidR="003E45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25DBA7" w14:textId="6C670114" w:rsidR="003E459C" w:rsidRDefault="003E459C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59C">
        <w:rPr>
          <w:rFonts w:ascii="Times New Roman" w:hAnsi="Times New Roman" w:cs="Times New Roman"/>
          <w:b/>
          <w:sz w:val="28"/>
          <w:szCs w:val="28"/>
          <w:lang w:val="uk-UA"/>
        </w:rPr>
        <w:t>Таблиця 1.1.2.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Актуальні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орми якості </w:t>
      </w:r>
      <w:commentRangeStart w:id="0"/>
      <w:r>
        <w:rPr>
          <w:rFonts w:ascii="Times New Roman" w:hAnsi="Times New Roman" w:cs="Times New Roman"/>
          <w:sz w:val="28"/>
          <w:szCs w:val="28"/>
          <w:lang w:val="uk-UA"/>
        </w:rPr>
        <w:t>електроенергії</w:t>
      </w:r>
      <w:commentRangeEnd w:id="0"/>
      <w:r w:rsidR="00A21D94">
        <w:rPr>
          <w:rStyle w:val="aa"/>
        </w:rPr>
        <w:commentReference w:id="0"/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95"/>
        <w:gridCol w:w="2340"/>
        <w:gridCol w:w="2378"/>
      </w:tblGrid>
      <w:tr w:rsidR="003E459C" w14:paraId="22611E60" w14:textId="77777777" w:rsidTr="003E459C">
        <w:tc>
          <w:tcPr>
            <w:tcW w:w="5395" w:type="dxa"/>
            <w:vMerge w:val="restart"/>
            <w:vAlign w:val="center"/>
          </w:tcPr>
          <w:p w14:paraId="41687CEB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показника</w:t>
            </w:r>
          </w:p>
        </w:tc>
        <w:tc>
          <w:tcPr>
            <w:tcW w:w="4718" w:type="dxa"/>
            <w:gridSpan w:val="2"/>
          </w:tcPr>
          <w:p w14:paraId="608D28B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Допустиме значення показника</w:t>
            </w:r>
          </w:p>
        </w:tc>
      </w:tr>
      <w:tr w:rsidR="003E459C" w14:paraId="7FABFE97" w14:textId="77777777" w:rsidTr="003E459C">
        <w:tc>
          <w:tcPr>
            <w:tcW w:w="5395" w:type="dxa"/>
            <w:vMerge/>
          </w:tcPr>
          <w:p w14:paraId="02D70D70" w14:textId="77777777" w:rsidR="003E459C" w:rsidRP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340" w:type="dxa"/>
          </w:tcPr>
          <w:p w14:paraId="0F2B3CE2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Нормальне</w:t>
            </w:r>
          </w:p>
        </w:tc>
        <w:tc>
          <w:tcPr>
            <w:tcW w:w="2378" w:type="dxa"/>
          </w:tcPr>
          <w:p w14:paraId="08CB709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Граничне</w:t>
            </w:r>
          </w:p>
        </w:tc>
      </w:tr>
      <w:tr w:rsidR="003E459C" w14:paraId="2DD7C378" w14:textId="77777777" w:rsidTr="003E459C">
        <w:tc>
          <w:tcPr>
            <w:tcW w:w="5395" w:type="dxa"/>
          </w:tcPr>
          <w:p w14:paraId="0452D29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напруги</w:t>
            </w:r>
          </w:p>
        </w:tc>
        <w:tc>
          <w:tcPr>
            <w:tcW w:w="2340" w:type="dxa"/>
            <w:vAlign w:val="center"/>
          </w:tcPr>
          <w:p w14:paraId="78663F9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5 В</w:t>
            </w:r>
          </w:p>
        </w:tc>
        <w:tc>
          <w:tcPr>
            <w:tcW w:w="2378" w:type="dxa"/>
            <w:vAlign w:val="center"/>
          </w:tcPr>
          <w:p w14:paraId="05A1DE3F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10 В</w:t>
            </w:r>
          </w:p>
        </w:tc>
      </w:tr>
      <w:tr w:rsidR="003E459C" w14:paraId="303E89AD" w14:textId="77777777" w:rsidTr="003E459C">
        <w:tc>
          <w:tcPr>
            <w:tcW w:w="5395" w:type="dxa"/>
          </w:tcPr>
          <w:p w14:paraId="4972AF5B" w14:textId="77777777" w:rsidR="003E459C" w:rsidRDefault="003E459C" w:rsidP="003E45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спотворення </w:t>
            </w:r>
            <w:proofErr w:type="spellStart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синусоїдальності</w:t>
            </w:r>
            <w:proofErr w:type="spellEnd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напруги</w:t>
            </w:r>
          </w:p>
        </w:tc>
        <w:tc>
          <w:tcPr>
            <w:tcW w:w="2340" w:type="dxa"/>
            <w:vAlign w:val="center"/>
          </w:tcPr>
          <w:p w14:paraId="4FBE0AF4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8 %</w:t>
            </w:r>
          </w:p>
        </w:tc>
        <w:tc>
          <w:tcPr>
            <w:tcW w:w="2378" w:type="dxa"/>
            <w:vAlign w:val="center"/>
          </w:tcPr>
          <w:p w14:paraId="48B704C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12 %</w:t>
            </w:r>
          </w:p>
        </w:tc>
      </w:tr>
      <w:tr w:rsidR="003E459C" w14:paraId="7A64E058" w14:textId="77777777" w:rsidTr="003E459C">
        <w:tc>
          <w:tcPr>
            <w:tcW w:w="5395" w:type="dxa"/>
          </w:tcPr>
          <w:p w14:paraId="6A348DB5" w14:textId="77777777" w:rsidR="003E459C" w:rsidRPr="003E459C" w:rsidRDefault="003E459C" w:rsidP="003E45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гармонійної складової напруги</w:t>
            </w:r>
          </w:p>
          <w:p w14:paraId="7D2D4D1D" w14:textId="77777777" w:rsidR="003E459C" w:rsidRDefault="003E459C" w:rsidP="003E45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непарного (парного) порядку</w:t>
            </w:r>
          </w:p>
        </w:tc>
        <w:tc>
          <w:tcPr>
            <w:tcW w:w="2340" w:type="dxa"/>
            <w:vAlign w:val="center"/>
          </w:tcPr>
          <w:p w14:paraId="4DF4551C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5 %</w:t>
            </w:r>
          </w:p>
        </w:tc>
        <w:tc>
          <w:tcPr>
            <w:tcW w:w="2378" w:type="dxa"/>
            <w:vAlign w:val="center"/>
          </w:tcPr>
          <w:p w14:paraId="3171EB83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7,5 %</w:t>
            </w:r>
          </w:p>
        </w:tc>
      </w:tr>
      <w:tr w:rsidR="003E459C" w14:paraId="6F35C48B" w14:textId="77777777" w:rsidTr="003E459C">
        <w:tc>
          <w:tcPr>
            <w:tcW w:w="5395" w:type="dxa"/>
          </w:tcPr>
          <w:p w14:paraId="0AFF956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Несиметрія</w:t>
            </w:r>
            <w:proofErr w:type="spellEnd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напруги</w:t>
            </w:r>
          </w:p>
        </w:tc>
        <w:tc>
          <w:tcPr>
            <w:tcW w:w="2340" w:type="dxa"/>
            <w:vAlign w:val="center"/>
          </w:tcPr>
          <w:p w14:paraId="0A13F0A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2 %</w:t>
            </w:r>
          </w:p>
        </w:tc>
        <w:tc>
          <w:tcPr>
            <w:tcW w:w="2378" w:type="dxa"/>
            <w:vAlign w:val="center"/>
          </w:tcPr>
          <w:p w14:paraId="3A050FA3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4 %</w:t>
            </w:r>
          </w:p>
        </w:tc>
      </w:tr>
      <w:tr w:rsidR="003E459C" w14:paraId="1E525171" w14:textId="77777777" w:rsidTr="003E459C">
        <w:tc>
          <w:tcPr>
            <w:tcW w:w="5395" w:type="dxa"/>
          </w:tcPr>
          <w:p w14:paraId="7CC1EAA6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 провалу напруги</w:t>
            </w:r>
          </w:p>
        </w:tc>
        <w:tc>
          <w:tcPr>
            <w:tcW w:w="2340" w:type="dxa"/>
            <w:vAlign w:val="center"/>
          </w:tcPr>
          <w:p w14:paraId="3653E0B6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78" w:type="dxa"/>
            <w:vAlign w:val="center"/>
          </w:tcPr>
          <w:p w14:paraId="4AE06A14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c</w:t>
            </w:r>
          </w:p>
        </w:tc>
      </w:tr>
      <w:tr w:rsidR="003E459C" w14:paraId="260C0624" w14:textId="77777777" w:rsidTr="003E459C">
        <w:tc>
          <w:tcPr>
            <w:tcW w:w="5395" w:type="dxa"/>
          </w:tcPr>
          <w:p w14:paraId="570B1D2A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частоти</w:t>
            </w:r>
          </w:p>
        </w:tc>
        <w:tc>
          <w:tcPr>
            <w:tcW w:w="2340" w:type="dxa"/>
            <w:vAlign w:val="center"/>
          </w:tcPr>
          <w:p w14:paraId="606AA82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  <w:proofErr w:type="spellEnd"/>
          </w:p>
        </w:tc>
        <w:tc>
          <w:tcPr>
            <w:tcW w:w="2378" w:type="dxa"/>
            <w:vAlign w:val="center"/>
          </w:tcPr>
          <w:p w14:paraId="76C2B0F8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± 0,4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</w:tbl>
    <w:p w14:paraId="36546A38" w14:textId="77777777" w:rsidR="003E459C" w:rsidRPr="003E459C" w:rsidRDefault="003E459C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7BC9B2" w14:textId="77777777" w:rsidR="00CA15EA" w:rsidRDefault="00EC776F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можна зробити висновок, що враховуючи динаміку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будування об’єктів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>ЕС та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розвитку фотоенергетики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в цілому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на сучасному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ринку України, для запобігання порушення стійкості енергосистеми країни, необхідно змінювати підхід до короткострокового прогнозування 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балансу потужності системи, тобто враховувати в ньому генерацію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ЕС.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даного рішення існує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необхідність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методів та засобів прогнозування виробітку електроенергії останніми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хоча б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>на добу вперед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Для достатньої ефективності результату впровадження даних дій можна зазначити наступні вимоги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92F98" w:rsidRPr="00192F98">
        <w:rPr>
          <w:rFonts w:ascii="Times New Roman" w:hAnsi="Times New Roman" w:cs="Times New Roman"/>
          <w:sz w:val="28"/>
          <w:szCs w:val="28"/>
          <w:lang w:val="uk-UA"/>
        </w:rPr>
        <w:t>рогнозування має забезпечувати, в кінцевому рахунк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у, точність в межах 5%.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Для забезпечення заданої точності розглянемо можливі варіанти</w:t>
      </w:r>
      <w:r w:rsidR="00B631ED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короткотермінового прогнозування виробітку потужності та режимів роботи ФЕС.</w:t>
      </w:r>
    </w:p>
    <w:p w14:paraId="2AF5AC53" w14:textId="77777777" w:rsidR="00CA15EA" w:rsidRDefault="00192F98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Методи прогнозування в загальних рисах можна охарактеризувати як  фізичні або статистичні. Фізичний підхід використовує моделі поведінки сонячної і фотоелектричної енергії, а статистичний підхід спирається насамперед на накопичені дані для визначення тенденцій.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Основні параметри, що враховуються в межах типового фізичного підходу – освітленість та температура повітря на території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ЕС. Освітленість враховується загальна, разом з розсіяною (для плоских панелей) або лише пряма (для панелей з концентраторами). Потужність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ЕС  розраховують відповідно до прогнозованих освітленості горизонтальної площадки та температури навколишнього середовища. Додатковими факторами можуть бути швидкість вітру та вологість повітря, але їх вплив загалом незначний.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Відправною точкою статистичних підходів є набори даних, які містять інформацію про попередню роботу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ЕС, погодні дані в районі станції, тощо. Цей набір даних використовується для «навчання» моделей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прогнозування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, тобто виявлення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закономірності в рядах даних, як стосовно однієї змінної (наприклад, метод </w:t>
      </w:r>
      <w:proofErr w:type="spellStart"/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авторегресії</w:t>
      </w:r>
      <w:proofErr w:type="spellEnd"/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), так і між рі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зними змінними або зображеннями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Найпростішим прикладом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статистичного методу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є модель постійності, в основі якої лежить екстраполювання поточного значення на наступний момент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часу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, з урахуванням лише зміни кута підйому сонця.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На практиці статистичний підхід трохи поступається фізичному за точністю, однак ці підходи можуть бути змішані,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адже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 між ними нема чіткого розмежування. Наприклад, фізичний підхід часто використовує модель вихідних статистик – порівняння прогнозованих даних з результатами спостережень за період навчання, з метою </w:t>
      </w:r>
      <w:commentRangeStart w:id="1"/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корекції прогнозу шляхом усунення систематичних похибок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>, що як наслідок може підвищити точність прогнозування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commentRangeEnd w:id="1"/>
      <w:r w:rsidR="000C44DD">
        <w:rPr>
          <w:rStyle w:val="aa"/>
        </w:rPr>
        <w:commentReference w:id="1"/>
      </w:r>
    </w:p>
    <w:p w14:paraId="2DE0ACE4" w14:textId="373BE835" w:rsidR="007B4E32" w:rsidRDefault="00CA15EA" w:rsidP="00843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Отже, можна зробити висновок, що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надійна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прогнозування повинна складатися з трьох основних компонентів: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>набір статистичних даних щодо роботи досліджуваного об’єкта і попередніх прогнозів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отримання актуального з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начення змінної величини 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>та відповідної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ним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моделі прогнозування.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високої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точності необхідно мати «якісні» дані щодо ретроспективи роботи конкретної електростанції і відповідної точності прогноз </w:t>
      </w:r>
      <w:proofErr w:type="spellStart"/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>метеопараметрів</w:t>
      </w:r>
      <w:proofErr w:type="spellEnd"/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на добу вперед.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F557E46" w14:textId="10480C5A" w:rsidR="007B4E32" w:rsidRDefault="00B361BA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Так як чисельні прогнози погоди прораховуються для окремих точок простору, їх використання в конкретній точці місцевості вимагає деякої форми інтерполяції. Найпростіший спосіб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 це взяти результати прогнозів для двох найближчих точок і провести згладжування/усереднення результатів. Чим більше прогнозів для сусідніх точок, розташованих біля необхідної точки на місцевості, буде використано, тим то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чніший результат буде отримано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D9F5EF" w14:textId="77777777" w:rsidR="005161F5" w:rsidRDefault="00843598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commentRangeStart w:id="2"/>
      <w:r>
        <w:rPr>
          <w:rFonts w:ascii="Times New Roman" w:hAnsi="Times New Roman" w:cs="Times New Roman"/>
          <w:sz w:val="28"/>
          <w:szCs w:val="28"/>
          <w:lang w:val="uk-UA"/>
        </w:rPr>
        <w:t xml:space="preserve">Нажаль,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унікальність роботи кожної окремої сонячної електростанції не дозволяє використати узагальнені </w:t>
      </w:r>
      <w:r>
        <w:rPr>
          <w:rFonts w:ascii="Times New Roman" w:hAnsi="Times New Roman" w:cs="Times New Roman"/>
          <w:sz w:val="28"/>
          <w:szCs w:val="28"/>
          <w:lang w:val="uk-UA"/>
        </w:rPr>
        <w:t>статистичн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і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щодо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режимів роботи станції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для використання їх у прогнозуванні виробітку конкретної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ФЕС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Тому для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зменшення суперечливості отриманої інформації щодо роботи ФЕС і забезпечення відпові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дної її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«якості» 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системи моніторингу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Такі системи дозволяють 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максимальну відповідність між виміряними і реальними значенням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и, </w:t>
      </w:r>
      <w:r>
        <w:rPr>
          <w:rFonts w:ascii="Times New Roman" w:hAnsi="Times New Roman" w:cs="Times New Roman"/>
          <w:sz w:val="28"/>
          <w:szCs w:val="28"/>
          <w:lang w:val="uk-UA"/>
        </w:rPr>
        <w:t>впроваджу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фільтрацію надлишкової інформації та її запис до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бази даних,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максимально точно буд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описувати роботу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конкретної ФЕС.</w:t>
      </w:r>
      <w:commentRangeEnd w:id="2"/>
      <w:r w:rsidR="005A6C2D">
        <w:rPr>
          <w:rStyle w:val="aa"/>
        </w:rPr>
        <w:commentReference w:id="2"/>
      </w:r>
    </w:p>
    <w:p w14:paraId="370E9D08" w14:textId="74E86B05" w:rsidR="005A6C2D" w:rsidRDefault="005A6C2D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можна зробити висновок, що для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 електроенергії виробленої на об’єктах ФЕС у прогнозованому на балансі потужності, що в свою чергу призведе до зменшення вторинного та третинного регулювання та можливого покращення 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стійкості енергосистеми в цілому, необхідне впровадження короткотермінового прогнозування виробітку ФЕС,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якісна робота яких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 вимагає розробки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відповідної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якості моніторингових систем збору та аналізу даних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BC95A3" w14:textId="505D56FE" w:rsidR="00816B4E" w:rsidRDefault="00816B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C55073" w14:textId="77777777" w:rsidR="007B4E32" w:rsidRDefault="007B4E32" w:rsidP="007B4E3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4E32">
        <w:rPr>
          <w:rFonts w:ascii="Times New Roman" w:hAnsi="Times New Roman" w:cs="Times New Roman"/>
          <w:b/>
          <w:sz w:val="28"/>
          <w:szCs w:val="28"/>
          <w:lang w:val="uk-UA"/>
        </w:rPr>
        <w:t>Задачі і перспективи використання систем моніторингу</w:t>
      </w:r>
    </w:p>
    <w:p w14:paraId="27F2F299" w14:textId="7CEA3D62" w:rsidR="00ED78FD" w:rsidRDefault="002077C7" w:rsidP="00ED78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Згідно з концепцією моніторингу він виконує одну з важливіших функцій системи управління з досягнення поставлених перед об'єктом цілей і є невіддільною складовою управління об'єктом у частині формування інформаційно-аналітичної бази цього процесу.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>Для досягнення цілей, визначених програмою функціонування об’єкта або стратегією його розвитку, моніторинг забезпечує виконання таких специфічних функцій:</w:t>
      </w:r>
    </w:p>
    <w:p w14:paraId="4141C0E7" w14:textId="30B59931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визначення складу системи показників, вибір методів збирання інформації, встановлення період</w:t>
      </w:r>
      <w:r>
        <w:rPr>
          <w:rFonts w:ascii="Times New Roman" w:hAnsi="Times New Roman" w:cs="Times New Roman"/>
          <w:sz w:val="28"/>
          <w:szCs w:val="28"/>
          <w:lang w:val="uk-UA"/>
        </w:rPr>
        <w:t>у оцінювання стану об’єкта тощо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1C2A825" w14:textId="33BD8140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інформаційна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бази, необхідної для оцінювання стану об’єкта та забезпечення функціонування загальної інформаці</w:t>
      </w:r>
      <w:r>
        <w:rPr>
          <w:rFonts w:ascii="Times New Roman" w:hAnsi="Times New Roman" w:cs="Times New Roman"/>
          <w:sz w:val="28"/>
          <w:szCs w:val="28"/>
          <w:lang w:val="uk-UA"/>
        </w:rPr>
        <w:t>йної системи процесу управління об’єктом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4BB96E2" w14:textId="0C06AAE5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діагности</w:t>
      </w:r>
      <w:r>
        <w:rPr>
          <w:rFonts w:ascii="Times New Roman" w:hAnsi="Times New Roman" w:cs="Times New Roman"/>
          <w:sz w:val="28"/>
          <w:szCs w:val="28"/>
          <w:lang w:val="uk-UA"/>
        </w:rPr>
        <w:t>чна – діагностика технологічного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 xml:space="preserve"> стану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результатів циклу технологічного процесу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(досягнення мети функціонування) і тенденцій розвитку об’єкта;</w:t>
      </w:r>
    </w:p>
    <w:p w14:paraId="76D6C132" w14:textId="47B348CF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t>аналітична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з’ясування причин, умов, чинників, що характеризують стан і динаміку показників моніторингу, та формування інформаційно-аналітичної бази про</w:t>
      </w:r>
      <w:r>
        <w:rPr>
          <w:rFonts w:ascii="Times New Roman" w:hAnsi="Times New Roman" w:cs="Times New Roman"/>
          <w:sz w:val="28"/>
          <w:szCs w:val="28"/>
          <w:lang w:val="uk-UA"/>
        </w:rPr>
        <w:t>цесу підтримки прийняття рішень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3FD0072" w14:textId="1418F2D2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комунікаційна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передання інформації, що відображає стан об’єкта і динаміку його показників, а також результати діагностики,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технічному персоналу та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енергодиспетчерам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B49A3A" w14:textId="1B663DF7" w:rsidR="00A62DDF" w:rsidRDefault="00A62DDF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Підсумовуючи викладене, можна стверджувати,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окрім використання даних отриманих шляхом моніторингу для прогнозування виробітку ФЕС,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моніторинг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роботи електростанції забезпечує її надійне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за рахунок своєчасного виявлення відхилень від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і формування інформації для вироблення управлінських рішень щодо регулювання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параметрів чи своєчасної технологічної підтримки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282102" w14:textId="094B3C26" w:rsidR="00014D62" w:rsidRDefault="00014D62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функцій моніторингу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шляхом вирішення таких його основних задач:</w:t>
      </w:r>
    </w:p>
    <w:p w14:paraId="23D324B1" w14:textId="3C6058E8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організація спостереження, отримання достовірної і об’єктивної інформації про стан об’єкта;</w:t>
      </w:r>
    </w:p>
    <w:p w14:paraId="037F54D9" w14:textId="29778DF1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оцінювання та системний аналіз отриманої інформації, виявлення причин, що викликають відхилення від </w:t>
      </w:r>
      <w:r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0434E57" w14:textId="7FBA294B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 для діагностування очікуваного стану об’єкта на кінець заданого періоду з урахуванням виявлених змін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оцінювання наслідків змін стану об’єкта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86D14C5" w14:textId="40006279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підготовка інформації для формування управлінських рішень, спрямованих на подолання негативних і підтримку позитивних тенденцій функціонування об’єкта;</w:t>
      </w:r>
    </w:p>
    <w:p w14:paraId="69CE8FBA" w14:textId="76A500AE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доведення в установленому порядку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технологічному персоналу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інформації, отрим</w:t>
      </w:r>
      <w:r>
        <w:rPr>
          <w:rFonts w:ascii="Times New Roman" w:hAnsi="Times New Roman" w:cs="Times New Roman"/>
          <w:sz w:val="28"/>
          <w:szCs w:val="28"/>
          <w:lang w:val="uk-UA"/>
        </w:rPr>
        <w:t>аної при здійсненні моніторингу та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раціональності процесу управління об’єктом.</w:t>
      </w:r>
    </w:p>
    <w:p w14:paraId="3318149D" w14:textId="52276FA5" w:rsidR="00014D62" w:rsidRDefault="002E6133" w:rsidP="00014D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моніторингу і реалізації його функцій та задач забезпечується дотриманням таких принципів його організації: </w:t>
      </w:r>
    </w:p>
    <w:p w14:paraId="4DF2FA30" w14:textId="624189D9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ринцип наукової обґрунтованості 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розроблення й удосконалення системи моніторингу з урахуванням досягнень теорії, апробації нових 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інструментів оцінювання отриманих даних, використання можливостей сучасних інформаційних технологій;</w:t>
      </w:r>
    </w:p>
    <w:p w14:paraId="124FE703" w14:textId="14A2795D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системності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розгляд об’єкта як підсистеми загальної системи, дослідження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>об’єкта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із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параметрами навколишнього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середовища;</w:t>
      </w:r>
    </w:p>
    <w:p w14:paraId="605C58AC" w14:textId="558B97A2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об’єктивності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в інформаційній базі моніторингу реальних умов функціонування об’єкта і чинників, що визначають його стан і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режими роботи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3AC9A06" w14:textId="63BE5895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реалістичності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система показників, що використовується для оцінювання стану об’єкта, динаміки і результатів його функціонування, має бути насиченою необхідною інформацією;</w:t>
      </w:r>
    </w:p>
    <w:p w14:paraId="185945D1" w14:textId="4F891BCD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принцип достатності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множина показників, що забезпечують оцінювання стану об’єкта, має бути мінімальною;</w:t>
      </w:r>
    </w:p>
    <w:p w14:paraId="59FC76E4" w14:textId="73AF03C1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агрегування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можливості визначення комплексного індикатора, що характеризує загальний стан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режим роботи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станції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77483F3" w14:textId="2462C85C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проблемної орієнтації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програма спостереження (обстеження, аналізу) має бути зорієнтована на вирішення певної проблеми, для чого необхідно сформувати обмежену, але достатню інформаційну базу;</w:t>
      </w:r>
    </w:p>
    <w:p w14:paraId="0CACF937" w14:textId="38B174D3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>принцип цілісності — організаційної єдності процесів моніторингу та управління об’єктом, за якою постановка задач моніторингу має ґрунтуватися на визначенні цілей і напрямів функціонування та розвитку об’єкта, розро</w:t>
      </w:r>
      <w:r>
        <w:rPr>
          <w:rFonts w:ascii="Times New Roman" w:hAnsi="Times New Roman" w:cs="Times New Roman"/>
          <w:sz w:val="28"/>
          <w:szCs w:val="28"/>
          <w:lang w:val="uk-UA"/>
        </w:rPr>
        <w:t>бленні стратегій управління ним;</w:t>
      </w:r>
    </w:p>
    <w:p w14:paraId="40ED0F75" w14:textId="7D5C5ACA" w:rsidR="00C50AED" w:rsidRDefault="00C50AED" w:rsidP="00C50A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принцип інваріантності (універсальності)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здатність моніторингу функціонувати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будь-як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СЕС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й за будь-яких мінливих умов зовнішнього середовища;</w:t>
      </w:r>
    </w:p>
    <w:p w14:paraId="5B13EA9F" w14:textId="7B5746AB" w:rsidR="00C50AED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Слід зазначити, що зміни стану об’єкта не мають ускладнювати систему моніторингу та ключові показники, а результати й напрями мають бути доступними і зрозумілими користувачам інформації на різних рівнях. Важливою є інноваційна складова принципу розвитку, що полягає в забезпеченні систематичного пошуку альтернативних інформаційних джерел,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математичних моделей аналізу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тощо.</w:t>
      </w:r>
    </w:p>
    <w:p w14:paraId="0ADB9C7F" w14:textId="623A4D9F" w:rsidR="003768ED" w:rsidRPr="0010219E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виконання зазначених функцій і задач моніторингу та дотримання принципів його організації характеризує його як одну з найважливіших функцій управлінського процесу. Інформаційно-аналітичний блок моніторингу виконує його основну функцію, оскільки для прийняття обґрунтованих рішень відповідним </w:t>
      </w:r>
      <w:r>
        <w:rPr>
          <w:rFonts w:ascii="Times New Roman" w:hAnsi="Times New Roman" w:cs="Times New Roman"/>
          <w:sz w:val="28"/>
          <w:szCs w:val="28"/>
          <w:lang w:val="uk-UA"/>
        </w:rPr>
        <w:t>технічним персоналом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важливим є аналіз і оцінювання стану об’єкта та динаміки показників його діяльності. Ефективну інформаційно-аналітичну підтримку вирішення необхідних задач здатні забезпечити системи автоматизації 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обробки інформації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Концепція такого роду систем для широкого класу керованих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має ґрунтуватися на сучасній технології інтегрованих сховищ даних та поглибленого аналітичного оброблення нагромадженої інформації на базі сучасних інформаційних технологій.</w:t>
      </w:r>
      <w:r w:rsidR="0010219E" w:rsidRPr="00102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3" w:name="_GoBack"/>
      <w:bookmarkEnd w:id="3"/>
    </w:p>
    <w:p w14:paraId="2536C66A" w14:textId="77777777" w:rsidR="00ED78FD" w:rsidRPr="00ED78FD" w:rsidRDefault="00ED78FD" w:rsidP="00ED78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AC3B7F" w14:textId="16E2F355" w:rsidR="007B4E32" w:rsidRPr="00ED78FD" w:rsidRDefault="00ED78FD" w:rsidP="00ED78FD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8FD">
        <w:rPr>
          <w:rFonts w:ascii="Times New Roman" w:hAnsi="Times New Roman" w:cs="Times New Roman"/>
          <w:b/>
          <w:sz w:val="28"/>
          <w:szCs w:val="28"/>
          <w:lang w:val="uk-UA"/>
        </w:rPr>
        <w:t>Аналіз сучасних систем моніторингу</w:t>
      </w:r>
      <w:r w:rsidR="00C50A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ФЕС</w:t>
      </w:r>
    </w:p>
    <w:p w14:paraId="7C734A4E" w14:textId="77777777" w:rsidR="00EC776F" w:rsidRPr="0010219E" w:rsidRDefault="00EC776F" w:rsidP="00F61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C776F" w:rsidRPr="0010219E" w:rsidSect="00EC776F">
      <w:headerReference w:type="default" r:id="rId9"/>
      <w:pgSz w:w="12240" w:h="15840"/>
      <w:pgMar w:top="706" w:right="706" w:bottom="1440" w:left="1411" w:header="720" w:footer="1620" w:gutter="0"/>
      <w:pgNumType w:start="1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ей Крупский" w:date="2018-05-19T09:17:00Z" w:initials="АК">
    <w:p w14:paraId="46A15E91" w14:textId="710A0684" w:rsidR="00A21D94" w:rsidRDefault="00A21D94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Необходимо сослаться на эту таблицу</w:t>
      </w:r>
      <w:r w:rsidR="005A6C2D">
        <w:rPr>
          <w:lang w:val="ru-RU"/>
        </w:rPr>
        <w:t>.</w:t>
      </w:r>
    </w:p>
    <w:p w14:paraId="510933E7" w14:textId="77777777" w:rsidR="00A21D94" w:rsidRPr="00A21D94" w:rsidRDefault="00A21D94">
      <w:pPr>
        <w:pStyle w:val="ab"/>
        <w:rPr>
          <w:lang w:val="ru-RU"/>
        </w:rPr>
      </w:pPr>
    </w:p>
  </w:comment>
  <w:comment w:id="1" w:author="Андрей Крупский" w:date="2018-05-16T19:07:00Z" w:initials="АК">
    <w:p w14:paraId="276B4764" w14:textId="28FC45AF" w:rsidR="000C44DD" w:rsidRPr="000C44DD" w:rsidRDefault="000C44D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</w:t>
      </w:r>
      <w:r w:rsidR="005A6C2D">
        <w:rPr>
          <w:lang w:val="ru-RU"/>
        </w:rPr>
        <w:t>,</w:t>
      </w:r>
      <w:r>
        <w:rPr>
          <w:lang w:val="ru-RU"/>
        </w:rPr>
        <w:t xml:space="preserve"> добавить конкретики о прогнозировании, рассмотреть конкретный метод и вытекающую математику.</w:t>
      </w:r>
    </w:p>
  </w:comment>
  <w:comment w:id="2" w:author="Андрей Крупский" w:date="2018-05-19T09:51:00Z" w:initials="АК">
    <w:p w14:paraId="6E3B5B5E" w14:textId="0190BF01" w:rsidR="005A6C2D" w:rsidRPr="005A6C2D" w:rsidRDefault="005A6C2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Возможно, перефразировать и больше описать мониторинговые системы.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0933E7" w15:done="0"/>
  <w15:commentEx w15:paraId="276B4764" w15:done="0"/>
  <w15:commentEx w15:paraId="6E3B5B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52A5D" w14:textId="77777777" w:rsidR="006443C5" w:rsidRDefault="006443C5" w:rsidP="00EF06D9">
      <w:pPr>
        <w:spacing w:after="0" w:line="240" w:lineRule="auto"/>
      </w:pPr>
      <w:r>
        <w:separator/>
      </w:r>
    </w:p>
  </w:endnote>
  <w:endnote w:type="continuationSeparator" w:id="0">
    <w:p w14:paraId="3CD8A044" w14:textId="77777777" w:rsidR="006443C5" w:rsidRDefault="006443C5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2750E" w14:textId="77777777" w:rsidR="006443C5" w:rsidRDefault="006443C5" w:rsidP="00EF06D9">
      <w:pPr>
        <w:spacing w:after="0" w:line="240" w:lineRule="auto"/>
      </w:pPr>
      <w:r>
        <w:separator/>
      </w:r>
    </w:p>
  </w:footnote>
  <w:footnote w:type="continuationSeparator" w:id="0">
    <w:p w14:paraId="43849800" w14:textId="77777777" w:rsidR="006443C5" w:rsidRDefault="006443C5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BFA46" w14:textId="77777777"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C1CCA3A" wp14:editId="27870FFA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CBBDF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9ECF0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18C4C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A63B0" w14:textId="77777777"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C0EBB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4CDAA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CFB62" w14:textId="77777777"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10219E">
                              <w:rPr>
                                <w:noProof/>
                                <w:lang w:val="uk-UA"/>
                              </w:rPr>
                              <w:t>19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17262" w14:textId="77777777"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1CCA3A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14:paraId="037CBBDF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14:paraId="2AB9ECF0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14:paraId="1C318C4C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14:paraId="345A63B0" w14:textId="77777777"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14:paraId="7B9C0EBB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14:paraId="4704CDAA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14:paraId="697CFB62" w14:textId="77777777"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 w:rsidR="0010219E">
                        <w:rPr>
                          <w:noProof/>
                          <w:lang w:val="uk-UA"/>
                        </w:rPr>
                        <w:t>19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14:paraId="68717262" w14:textId="77777777"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6200"/>
    <w:multiLevelType w:val="hybridMultilevel"/>
    <w:tmpl w:val="B91AB7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F63EB6"/>
    <w:multiLevelType w:val="hybridMultilevel"/>
    <w:tmpl w:val="3CDA039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8873A3"/>
    <w:multiLevelType w:val="hybridMultilevel"/>
    <w:tmpl w:val="2A3EE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3D47CF"/>
    <w:multiLevelType w:val="multilevel"/>
    <w:tmpl w:val="14901B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D730662"/>
    <w:multiLevelType w:val="hybridMultilevel"/>
    <w:tmpl w:val="3AFAE8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ей Крупский">
    <w15:presenceInfo w15:providerId="Windows Live" w15:userId="6c997ffaa8656d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14D62"/>
    <w:rsid w:val="000C44DD"/>
    <w:rsid w:val="000E2308"/>
    <w:rsid w:val="0010219E"/>
    <w:rsid w:val="00152B0E"/>
    <w:rsid w:val="00192F98"/>
    <w:rsid w:val="002077C7"/>
    <w:rsid w:val="00282301"/>
    <w:rsid w:val="002856B1"/>
    <w:rsid w:val="002D448D"/>
    <w:rsid w:val="002E6133"/>
    <w:rsid w:val="003271AA"/>
    <w:rsid w:val="00327B25"/>
    <w:rsid w:val="003768ED"/>
    <w:rsid w:val="003B4181"/>
    <w:rsid w:val="003E459C"/>
    <w:rsid w:val="00480658"/>
    <w:rsid w:val="004F79F1"/>
    <w:rsid w:val="005161F5"/>
    <w:rsid w:val="00555562"/>
    <w:rsid w:val="00564CBE"/>
    <w:rsid w:val="005A6C2D"/>
    <w:rsid w:val="006000A8"/>
    <w:rsid w:val="006443C5"/>
    <w:rsid w:val="00655B0C"/>
    <w:rsid w:val="006A307B"/>
    <w:rsid w:val="006B5D78"/>
    <w:rsid w:val="00736CC8"/>
    <w:rsid w:val="007B4E32"/>
    <w:rsid w:val="007C10C6"/>
    <w:rsid w:val="00816B4E"/>
    <w:rsid w:val="00843598"/>
    <w:rsid w:val="008712DE"/>
    <w:rsid w:val="00882C6F"/>
    <w:rsid w:val="009660C9"/>
    <w:rsid w:val="00970950"/>
    <w:rsid w:val="009F2908"/>
    <w:rsid w:val="00A15170"/>
    <w:rsid w:val="00A16ED7"/>
    <w:rsid w:val="00A21D94"/>
    <w:rsid w:val="00A434E4"/>
    <w:rsid w:val="00A503E3"/>
    <w:rsid w:val="00A62DDF"/>
    <w:rsid w:val="00AA641E"/>
    <w:rsid w:val="00B278A9"/>
    <w:rsid w:val="00B361BA"/>
    <w:rsid w:val="00B447CD"/>
    <w:rsid w:val="00B631ED"/>
    <w:rsid w:val="00B73B5B"/>
    <w:rsid w:val="00B73E3A"/>
    <w:rsid w:val="00BA426E"/>
    <w:rsid w:val="00C50AED"/>
    <w:rsid w:val="00C52370"/>
    <w:rsid w:val="00C64068"/>
    <w:rsid w:val="00C65BC0"/>
    <w:rsid w:val="00C71511"/>
    <w:rsid w:val="00C73CBF"/>
    <w:rsid w:val="00C80C1A"/>
    <w:rsid w:val="00CA15EA"/>
    <w:rsid w:val="00DD7D46"/>
    <w:rsid w:val="00DE3E81"/>
    <w:rsid w:val="00E3439F"/>
    <w:rsid w:val="00E96410"/>
    <w:rsid w:val="00EB47EA"/>
    <w:rsid w:val="00EB5DC2"/>
    <w:rsid w:val="00EC776F"/>
    <w:rsid w:val="00ED78FD"/>
    <w:rsid w:val="00EF06D9"/>
    <w:rsid w:val="00EF0D3C"/>
    <w:rsid w:val="00F55AFB"/>
    <w:rsid w:val="00F57836"/>
    <w:rsid w:val="00F61734"/>
    <w:rsid w:val="00FD7F72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AD03C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B73E3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3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970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0C44D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C44D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C44D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C44D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C44D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C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C4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9</Pages>
  <Words>2225</Words>
  <Characters>12688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12</cp:revision>
  <dcterms:created xsi:type="dcterms:W3CDTF">2018-05-05T13:16:00Z</dcterms:created>
  <dcterms:modified xsi:type="dcterms:W3CDTF">2018-05-19T08:18:00Z</dcterms:modified>
</cp:coreProperties>
</file>