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Style w:val="Style_1"/>
        <w:tblW w:type="auto" w:w="0"/>
        <w:tblLayout w:type="fixed"/>
      </w:tblPr>
      <w:tblGrid>
        <w:gridCol w:w="933"/>
        <w:gridCol w:w="16"/>
        <w:gridCol w:w="30731"/>
      </w:tblGrid>
      <w:tr>
        <w:trPr>
          <w:trHeight w:hRule="atLeast" w:val="72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01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  <w:sz w:val="56"/>
              </w:rPr>
            </w:pPr>
            <w:r>
              <w:rPr>
                <w:rFonts w:ascii="Calibri" w:hAnsi="Calibri"/>
                <w:color w:val="000000"/>
                <w:sz w:val="56"/>
              </w:rPr>
              <w:t>1.</w:t>
            </w: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02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В конце </w:t>
            </w:r>
            <w:r>
              <w:rPr>
                <w:rFonts w:ascii="Calibri" w:hAnsi="Calibri"/>
                <w:color w:val="000000"/>
              </w:rPr>
              <w:t>текста  Идея</w:t>
            </w:r>
            <w:r>
              <w:rPr>
                <w:rFonts w:ascii="Calibri" w:hAnsi="Calibri"/>
                <w:color w:val="000000"/>
              </w:rPr>
              <w:t xml:space="preserve">… ставим кнопочку "читать далее"  и переносимся по ней в самы низ . Туда помещаем длинный текст средним </w:t>
            </w:r>
            <w:r>
              <w:rPr>
                <w:rFonts w:ascii="Calibri" w:hAnsi="Calibri"/>
                <w:color w:val="000000"/>
              </w:rPr>
              <w:t>шрифтом :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03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04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05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06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Ещё в 60-х были люди, которые видели будущее.</w:t>
            </w:r>
          </w:p>
        </w:tc>
      </w:tr>
      <w:tr>
        <w:trPr>
          <w:trHeight w:hRule="atLeast" w:val="18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07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08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 произведении Станислава Лема «Сумма технологий» описано не просто будущее технологий, а их слияние в единую среду, где человек перестаёт быть единственным субъектом. Сегодня это перестаёт быть метафорой: ИИ встроен в финансы, логистику, образование, творчество. Мы назвали семинар в честь этого произведения не ради красивой отсылки, а потому что считаем: разговор об ИИ должен начинаться с глубины, а не с очередного релиза. Мы хотим заглянуть туда же, куда смотрел Лем, — но с сегодняшним инструментарием и сегодняшними вопросами.</w:t>
            </w:r>
          </w:p>
        </w:tc>
      </w:tr>
      <w:tr>
        <w:trPr>
          <w:trHeight w:hRule="atLeast" w:val="75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09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0A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  <w:sz w:val="28"/>
              </w:rPr>
            </w:pPr>
            <w:r>
              <w:rPr>
                <w:rFonts w:ascii="Calibri" w:hAnsi="Calibri"/>
                <w:b w:val="1"/>
                <w:color w:val="000000"/>
                <w:sz w:val="28"/>
              </w:rPr>
              <w:t>Мы не конференция в обычном смысле. Мы — семинар с ежегодной конференцией.</w:t>
            </w:r>
          </w:p>
        </w:tc>
      </w:tr>
      <w:tr>
        <w:trPr>
          <w:trHeight w:hRule="atLeast" w:val="9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0B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  <w:sz w:val="28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0C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Наш основной формат — ежеквартальные встречи по секциям, камерные, в приватной аудитории. Раз в год, в мае, мы собираем большую конференцию — но даже в этом масштабе мы остаёмся семинаром: не поток докладов, а пространство для разговора. Формат личного участия, а не «присутствия в зале».</w:t>
            </w:r>
          </w:p>
        </w:tc>
      </w:tr>
      <w:tr>
        <w:trPr>
          <w:trHeight w:hRule="atLeast" w:val="127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0D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0E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  <w:sz w:val="28"/>
              </w:rPr>
              <w:t xml:space="preserve"> Практика — для себя, а не для отчёта</w:t>
            </w:r>
            <w:r>
              <w:rPr>
                <w:rFonts w:ascii="Calibri" w:hAnsi="Calibri"/>
                <w:color w:val="000000"/>
              </w:rPr>
              <w:t xml:space="preserve">.Секция «Практика ИИ: от личного к бизнесу» учит запускать модели на своём железе, решать конкретные проблемы, настраивать приватных ассистентов. Это не «внедрение корпоративного решения», а навык, который остаётся с вами. </w:t>
            </w:r>
            <w:r>
              <w:rPr>
                <w:rFonts w:ascii="Calibri" w:hAnsi="Calibri"/>
                <w:b w:val="1"/>
                <w:color w:val="000000"/>
              </w:rPr>
              <w:t>Самое важное: мы говорим о воспитании и образовании детей.</w:t>
            </w:r>
          </w:p>
        </w:tc>
      </w:tr>
      <w:tr>
        <w:trPr>
          <w:trHeight w:hRule="atLeast" w:val="127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0F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0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Мы считаем это кардинально важным моментом, а не «темой для одной секции». Дети и подростки </w:t>
            </w:r>
            <w:r>
              <w:rPr>
                <w:rFonts w:ascii="Calibri" w:hAnsi="Calibri"/>
                <w:b w:val="1"/>
                <w:color w:val="000000"/>
                <w:sz w:val="28"/>
              </w:rPr>
              <w:t>уже</w:t>
            </w:r>
            <w:r>
              <w:rPr>
                <w:rFonts w:ascii="Calibri" w:hAnsi="Calibri"/>
                <w:color w:val="000000"/>
              </w:rPr>
              <w:t xml:space="preserve"> живут в мире, где ИИ встроен во всё — и то, как они научатся с ним обращаться, думать, спорить и не терять себя, определит не «будущее», а настоящее. Поэтому у нас есть отдельная молодёжная секция, и поэтому разговор о воспитании пронизывает весь семинар, а не выносится в угол.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1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2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Цены рассчитаны на человека, а не на корпоративный бюджет.</w:t>
            </w:r>
          </w:p>
        </w:tc>
      </w:tr>
      <w:tr>
        <w:trPr>
          <w:trHeight w:hRule="atLeast" w:val="12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3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4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Большинство крупных мероприятий ориентированы на то, что билет оплатит компания — отсюда и ценник, который не каждый решится заплатить из своего кармана. У нас иначе: мы хотим, чтобы думающий человек мог прийти сам, без «согласования бюджета» и без чувства, что платит за бренд, а не за содержание.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5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6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Приватность вместо масштаба.</w:t>
            </w:r>
          </w:p>
        </w:tc>
      </w:tr>
      <w:tr>
        <w:trPr>
          <w:trHeight w:hRule="atLeast" w:val="9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7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8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Большие конференции говорят с позиции индустрии: как внедрить, как масштабировать, как продать. Мы говорим иначе — с позиции мысли и смысла, а не рынка. В камерной аудитории возможен настоящий разговор: задать вопрос, поспорить, остаться после секции и продолжить обсуждение.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9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A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Наша аудитория — думающие, самостоятельные люди.</w:t>
            </w:r>
          </w:p>
        </w:tc>
      </w:tr>
      <w:tr>
        <w:trPr>
          <w:trHeight w:hRule="atLeast" w:val="9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B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C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Те, кто готов сомневаться, спорить и искать собственные ответы. А также те, кто ищет у ИИ реальной помощи и поддержки в своём деле — не «магического решения», а инструмента, который можно и </w:t>
            </w:r>
            <w:r>
              <w:rPr>
                <w:rFonts w:ascii="Calibri" w:hAnsi="Calibri"/>
                <w:color w:val="000000"/>
              </w:rPr>
              <w:t>нужно  понять</w:t>
            </w:r>
            <w:r>
              <w:rPr>
                <w:rFonts w:ascii="Calibri" w:hAnsi="Calibri"/>
                <w:color w:val="000000"/>
              </w:rPr>
              <w:t xml:space="preserve"> и приручить.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D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E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12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1F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0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Секция «Футурология, история, этика, риски»</w:t>
            </w:r>
            <w:r>
              <w:rPr>
                <w:rFonts w:ascii="Calibri" w:hAnsi="Calibri"/>
                <w:color w:val="000000"/>
              </w:rPr>
              <w:t xml:space="preserve"> — полноценное направление, где обсуждаются вопросы, которые индустрия предпочитает обходить: чей это инструмент, кто контролирует «интегральный слой», что значит быть человеком в мире, где ИИ встроен во всё. Без цензуры — в рамках закона и уважения, но без оглядки на «неудобность» темы.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1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2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Молодёжь — не «на будущее», а сейчас.</w:t>
            </w:r>
          </w:p>
        </w:tc>
      </w:tr>
      <w:tr>
        <w:trPr>
          <w:trHeight w:hRule="atLeast" w:val="15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3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4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У нас есть отдельная молодёжная секция для 14–20 лет. Это принципиально: мы не читаем им лекции «про профессии будущего», а даём пространство, где они могут пробовать, ошибаться, спорить и находить свой язык для разговора с технологиями. Это не «профориентация», а воспитание самостоятельного мышления — то, без чего любая технология становится лишь инструментом послушания.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5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6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7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8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Мы оставляем канал для взаимопомощи.</w:t>
            </w:r>
          </w:p>
        </w:tc>
      </w:tr>
      <w:tr>
        <w:trPr>
          <w:trHeight w:hRule="atLeast" w:val="9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9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b w:val="1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A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Тем, для кого эта тема жизненно важна, мы даём не только сцену, но и пространство для поддержки: обмен опытом, ответы на вопросы, помощь в сложных ситуациях. Это не «нетворкинг ради контактов», а сообщество людей, которым действительно интересно и важно разбираться в ИИ вместе.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B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C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57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D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  <w:sz w:val="44"/>
              </w:rPr>
            </w:pPr>
            <w:r>
              <w:rPr>
                <w:rFonts w:ascii="Calibri" w:hAnsi="Calibri"/>
                <w:color w:val="000000"/>
                <w:sz w:val="44"/>
              </w:rPr>
              <w:t>2.</w:t>
            </w: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E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Секцию </w:t>
            </w:r>
            <w:r>
              <w:rPr>
                <w:rFonts w:ascii="Calibri" w:hAnsi="Calibri"/>
                <w:color w:val="000000"/>
              </w:rPr>
              <w:t>2 .</w:t>
            </w:r>
            <w:r>
              <w:rPr>
                <w:rFonts w:ascii="Calibri" w:hAnsi="Calibri"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Переименовываем  "</w:t>
            </w:r>
            <w:r>
              <w:rPr>
                <w:rFonts w:ascii="Calibri" w:hAnsi="Calibri"/>
                <w:color w:val="000000"/>
              </w:rPr>
              <w:t>Лаборатория личного ИИ " в " «Лаборатория прикладного ИИ»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2F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30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31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32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93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33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  <w:sz w:val="72"/>
              </w:rPr>
            </w:pPr>
            <w:r>
              <w:rPr>
                <w:rFonts w:ascii="Calibri" w:hAnsi="Calibri"/>
                <w:color w:val="000000"/>
                <w:sz w:val="72"/>
              </w:rPr>
              <w:t>3.</w:t>
            </w: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34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Добавлем 5 </w:t>
            </w:r>
            <w:r>
              <w:rPr>
                <w:rFonts w:ascii="Calibri" w:hAnsi="Calibri"/>
                <w:color w:val="000000"/>
              </w:rPr>
              <w:t>секцию :</w:t>
            </w:r>
            <w:r>
              <w:rPr>
                <w:rFonts w:ascii="Calibri" w:hAnsi="Calibri"/>
                <w:color w:val="000000"/>
              </w:rPr>
              <w:t xml:space="preserve"> «молодёжная секция».«для участников 14–20 лет» Лозунг - — для тех, кто не хочет, чтобы за него решали, каким будет его будущее.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35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36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37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38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72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39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  <w:sz w:val="56"/>
              </w:rPr>
            </w:pPr>
            <w:r>
              <w:rPr>
                <w:rFonts w:ascii="Calibri" w:hAnsi="Calibri"/>
                <w:color w:val="000000"/>
                <w:sz w:val="56"/>
              </w:rPr>
              <w:t>4.</w:t>
            </w: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center"/>
          </w:tcPr>
          <w:p w14:paraId="3A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b w:val="1"/>
                <w:color w:val="000000"/>
                <w:sz w:val="28"/>
              </w:rPr>
            </w:pPr>
            <w:r>
              <w:rPr>
                <w:rFonts w:ascii="Segoe UI" w:hAnsi="Segoe UI"/>
                <w:b w:val="1"/>
                <w:color w:val="000000"/>
                <w:sz w:val="28"/>
              </w:rPr>
              <w:t>4. Футурология, история, этика, риски</w:t>
            </w:r>
          </w:p>
        </w:tc>
      </w:tr>
      <w:tr>
        <w:trPr>
          <w:trHeight w:hRule="atLeast" w:val="114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3B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b w:val="1"/>
                <w:color w:val="000000"/>
                <w:sz w:val="28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center"/>
          </w:tcPr>
          <w:p w14:paraId="3C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 xml:space="preserve">От «Голема» и «Франкенштейна» до корпоративных войн за AGI: сингулярность, безработица, цензура, автономные агенты. Академично, без «инопланетян».  Инопланетян Заменить </w:t>
            </w:r>
            <w:r>
              <w:rPr>
                <w:rFonts w:ascii="Segoe UI" w:hAnsi="Segoe UI"/>
                <w:color w:val="000000"/>
              </w:rPr>
              <w:t>на :</w:t>
            </w:r>
            <w:r>
              <w:rPr>
                <w:rFonts w:ascii="Segoe UI" w:hAnsi="Segoe UI"/>
                <w:color w:val="000000"/>
              </w:rPr>
              <w:t xml:space="preserve">  </w:t>
            </w:r>
            <w:r>
              <w:rPr>
                <w:rFonts w:ascii="Segoe UI" w:hAnsi="Segoe UI"/>
                <w:b w:val="1"/>
                <w:color w:val="000000"/>
                <w:sz w:val="28"/>
              </w:rPr>
              <w:t xml:space="preserve"> без лишней истерики. 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3D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3E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46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3F000000">
            <w:pPr>
              <w:widowControl w:val="1"/>
              <w:spacing w:after="0" w:line="240" w:lineRule="auto"/>
              <w:ind/>
              <w:rPr>
                <w:rFonts w:ascii="Calibri" w:hAnsi="Calibri"/>
                <w:b w:val="1"/>
                <w:color w:val="000000"/>
                <w:sz w:val="36"/>
              </w:rPr>
            </w:pPr>
            <w:r>
              <w:rPr>
                <w:rFonts w:ascii="Calibri" w:hAnsi="Calibri"/>
                <w:b w:val="1"/>
                <w:color w:val="000000"/>
                <w:sz w:val="36"/>
              </w:rPr>
              <w:t>5.</w:t>
            </w: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40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раздел :</w:t>
            </w:r>
            <w:r>
              <w:rPr>
                <w:rFonts w:ascii="Calibri" w:hAnsi="Calibri"/>
                <w:color w:val="000000"/>
              </w:rPr>
              <w:t xml:space="preserve"> Условия участия в семинаре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41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42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46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43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44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цену за</w:t>
            </w:r>
            <w:r>
              <w:rPr>
                <w:rFonts w:ascii="Calibri" w:hAnsi="Calibri"/>
                <w:b w:val="1"/>
                <w:color w:val="000000"/>
                <w:sz w:val="36"/>
              </w:rPr>
              <w:t xml:space="preserve"> оба дня поставить 2500</w:t>
            </w:r>
            <w:r>
              <w:rPr>
                <w:rFonts w:ascii="Calibri" w:hAnsi="Calibri"/>
                <w:color w:val="000000"/>
              </w:rPr>
              <w:t xml:space="preserve">. за 2 дня 3500 </w:t>
            </w:r>
            <w:r>
              <w:rPr>
                <w:rFonts w:ascii="Calibri" w:hAnsi="Calibri"/>
                <w:color w:val="000000"/>
              </w:rPr>
              <w:t>( экономия</w:t>
            </w:r>
            <w:r>
              <w:rPr>
                <w:rFonts w:ascii="Calibri" w:hAnsi="Calibri"/>
                <w:color w:val="000000"/>
              </w:rPr>
              <w:t xml:space="preserve"> 1500р)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45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46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40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47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FFFFFF" w:val="clear"/>
            <w:vAlign w:val="center"/>
          </w:tcPr>
          <w:p w14:paraId="48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  <w:r>
              <w:rPr>
                <w:rFonts w:ascii="Segoe UI" w:hAnsi="Segoe UI"/>
                <w:sz w:val="28"/>
              </w:rPr>
              <w:t xml:space="preserve">убрать       </w:t>
            </w:r>
            <w:r>
              <w:rPr>
                <w:rFonts w:ascii="Segoe UI" w:hAnsi="Segoe UI"/>
                <w:sz w:val="20"/>
              </w:rPr>
              <w:t xml:space="preserve"> Круглые столы — отдельный билет.</w:t>
            </w:r>
          </w:p>
        </w:tc>
      </w:tr>
      <w:tr>
        <w:trPr>
          <w:trHeight w:hRule="atLeast" w:val="40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49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FFFFFF" w:val="clear"/>
            <w:vAlign w:val="center"/>
          </w:tcPr>
          <w:p w14:paraId="4A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  <w:r>
              <w:rPr>
                <w:rFonts w:ascii="Segoe UI" w:hAnsi="Segoe UI"/>
                <w:sz w:val="28"/>
              </w:rPr>
              <w:t xml:space="preserve">убрать       </w:t>
            </w:r>
            <w:r>
              <w:rPr>
                <w:rFonts w:ascii="Segoe UI" w:hAnsi="Segoe UI"/>
              </w:rPr>
              <w:t xml:space="preserve"> Круглые столы — отдельный билет.</w:t>
            </w:r>
          </w:p>
        </w:tc>
      </w:tr>
      <w:tr>
        <w:trPr>
          <w:trHeight w:hRule="atLeast" w:val="40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4B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FFFFFF" w:val="clear"/>
            <w:vAlign w:val="center"/>
          </w:tcPr>
          <w:p w14:paraId="4C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  <w:r>
              <w:rPr>
                <w:rFonts w:ascii="Segoe UI" w:hAnsi="Segoe UI"/>
                <w:sz w:val="28"/>
              </w:rPr>
              <w:t xml:space="preserve">убрать    </w:t>
            </w:r>
            <w:r>
              <w:rPr>
                <w:rFonts w:ascii="Segoe UI" w:hAnsi="Segoe UI"/>
                <w:sz w:val="20"/>
              </w:rPr>
              <w:t xml:space="preserve">  Ранние продажи — за 1,5–2 месяца до семинара.</w:t>
            </w:r>
          </w:p>
        </w:tc>
      </w:tr>
      <w:tr>
        <w:trPr>
          <w:trHeight w:hRule="atLeast" w:val="40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4D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FFFFFF" w:val="clear"/>
            <w:vAlign w:val="center"/>
          </w:tcPr>
          <w:p w14:paraId="4E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  <w:r>
              <w:rPr>
                <w:rFonts w:ascii="Segoe UI" w:hAnsi="Segoe UI"/>
                <w:sz w:val="28"/>
              </w:rPr>
              <w:t>Добавить :</w:t>
            </w:r>
            <w:r>
              <w:rPr>
                <w:rFonts w:ascii="Segoe UI" w:hAnsi="Segoe UI"/>
                <w:sz w:val="28"/>
              </w:rPr>
              <w:t xml:space="preserve"> афтепати - за дополнительный взнос.</w:t>
            </w:r>
          </w:p>
        </w:tc>
      </w:tr>
      <w:tr>
        <w:trPr>
          <w:trHeight w:hRule="atLeast" w:val="40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4F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FFFFFF" w:val="clear"/>
            <w:vAlign w:val="center"/>
          </w:tcPr>
          <w:p w14:paraId="50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  <w:r>
              <w:rPr>
                <w:rFonts w:ascii="Segoe UI" w:hAnsi="Segoe UI"/>
                <w:sz w:val="28"/>
              </w:rPr>
              <w:t xml:space="preserve">Донаты </w:t>
            </w:r>
            <w:r>
              <w:rPr>
                <w:rFonts w:ascii="Segoe UI" w:hAnsi="Segoe UI"/>
                <w:sz w:val="28"/>
              </w:rPr>
              <w:t>приветствуются !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51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52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53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54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67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55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  <w:sz w:val="52"/>
              </w:rPr>
            </w:pPr>
            <w:r>
              <w:rPr>
                <w:rFonts w:ascii="Calibri" w:hAnsi="Calibri"/>
                <w:color w:val="000000"/>
                <w:sz w:val="52"/>
              </w:rPr>
              <w:t>6.</w:t>
            </w: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center"/>
          </w:tcPr>
          <w:p w14:paraId="56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b w:val="1"/>
                <w:color w:val="000000"/>
                <w:sz w:val="36"/>
              </w:rPr>
            </w:pPr>
            <w:r>
              <w:rPr>
                <w:rFonts w:ascii="Segoe UI" w:hAnsi="Segoe UI"/>
                <w:b w:val="1"/>
                <w:color w:val="000000"/>
                <w:sz w:val="36"/>
              </w:rPr>
              <w:t>Формат</w:t>
            </w:r>
          </w:p>
        </w:tc>
      </w:tr>
      <w:tr>
        <w:trPr>
          <w:trHeight w:hRule="atLeast" w:val="40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57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b w:val="1"/>
                <w:color w:val="000000"/>
                <w:sz w:val="36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center"/>
          </w:tcPr>
          <w:p w14:paraId="58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  <w:r>
              <w:rPr>
                <w:rFonts w:ascii="Segoe UI" w:hAnsi="Segoe UI"/>
                <w:sz w:val="28"/>
              </w:rPr>
              <w:t>Доклады: 3 на секцию по 15+15 минут или 4 по 10+10 (доклад/вопросы).</w:t>
            </w:r>
          </w:p>
        </w:tc>
      </w:tr>
      <w:tr>
        <w:trPr>
          <w:trHeight w:hRule="atLeast" w:val="40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59000000">
            <w:pPr>
              <w:widowControl w:val="1"/>
              <w:spacing w:after="0" w:line="240" w:lineRule="auto"/>
              <w:ind w:right="0"/>
              <w:jc w:val="both"/>
              <w:rPr>
                <w:rFonts w:ascii="Segoe UI" w:hAnsi="Segoe UI"/>
                <w:sz w:val="28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center"/>
          </w:tcPr>
          <w:p w14:paraId="5A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  <w:r>
              <w:rPr>
                <w:rFonts w:ascii="Segoe UI" w:hAnsi="Segoe UI"/>
                <w:sz w:val="28"/>
              </w:rPr>
              <w:t>УБрать :</w:t>
            </w:r>
            <w:r>
              <w:rPr>
                <w:rFonts w:ascii="Segoe UI" w:hAnsi="Segoe UI"/>
                <w:sz w:val="20"/>
              </w:rPr>
              <w:t xml:space="preserve"> Платная трансляция, запись с нарезкой докладов, мерч.</w:t>
            </w:r>
          </w:p>
        </w:tc>
      </w:tr>
      <w:tr>
        <w:trPr>
          <w:trHeight w:hRule="atLeast" w:val="40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5B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center"/>
          </w:tcPr>
          <w:p w14:paraId="5C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  <w:r>
              <w:rPr>
                <w:rFonts w:ascii="Segoe UI" w:hAnsi="Segoe UI"/>
                <w:sz w:val="28"/>
              </w:rPr>
              <w:t>Убрать :</w:t>
            </w:r>
            <w:r>
              <w:rPr>
                <w:rFonts w:ascii="Segoe UI" w:hAnsi="Segoe UI"/>
                <w:sz w:val="20"/>
              </w:rPr>
              <w:t xml:space="preserve"> Флешка с офлайн-моделью-помощником и RAG-оцифровка докладов.</w:t>
            </w:r>
          </w:p>
        </w:tc>
      </w:tr>
      <w:tr>
        <w:trPr>
          <w:trHeight w:hRule="atLeast" w:val="40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5D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center"/>
          </w:tcPr>
          <w:p w14:paraId="5E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  <w:r>
              <w:rPr>
                <w:rFonts w:ascii="Segoe UI" w:hAnsi="Segoe UI"/>
                <w:sz w:val="28"/>
              </w:rPr>
              <w:t>После семинара — пресс-релиз и публикации докладов.</w:t>
            </w:r>
          </w:p>
        </w:tc>
      </w:tr>
      <w:tr>
        <w:trPr>
          <w:trHeight w:hRule="atLeast" w:val="40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5F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center"/>
          </w:tcPr>
          <w:p w14:paraId="60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  <w:r>
              <w:rPr>
                <w:rFonts w:ascii="Segoe UI" w:hAnsi="Segoe UI"/>
                <w:sz w:val="28"/>
              </w:rPr>
              <w:t xml:space="preserve">Трансляция не ведётся: формат предполагает закрытое обсуждение. 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61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62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405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63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7.</w:t>
            </w: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center"/>
          </w:tcPr>
          <w:p w14:paraId="64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  <w:r>
              <w:rPr>
                <w:rFonts w:ascii="Segoe UI" w:hAnsi="Segoe UI"/>
                <w:sz w:val="28"/>
              </w:rPr>
              <w:t>Добавляем  :</w:t>
            </w:r>
            <w:r>
              <w:rPr>
                <w:rFonts w:ascii="Segoe UI" w:hAnsi="Segoe UI"/>
                <w:sz w:val="28"/>
              </w:rPr>
              <w:t xml:space="preserve"> внизу список учредителей :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65000000">
            <w:pPr>
              <w:widowControl w:val="1"/>
              <w:spacing w:after="0" w:line="240" w:lineRule="auto"/>
              <w:ind/>
              <w:jc w:val="both"/>
              <w:rPr>
                <w:rFonts w:ascii="Segoe UI" w:hAnsi="Segoe UI"/>
                <w:sz w:val="28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66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67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68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Деятельность семинара проходит под патронажем: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69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6A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Траектория смысла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6B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6C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Школа складности "Русло"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6D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6E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ООО Консалт-МИТ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6F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70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Твои Традиции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71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72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Фонд Эйлера</w:t>
            </w:r>
          </w:p>
        </w:tc>
      </w:tr>
      <w:tr>
        <w:trPr>
          <w:trHeight w:hRule="atLeast" w:val="300"/>
        </w:trPr>
        <w:tc>
          <w:tcPr>
            <w:tcW w:type="dxa" w:w="93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73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47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74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Крейт</w:t>
            </w:r>
          </w:p>
          <w:p w14:paraId="75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</w:p>
          <w:p w14:paraId="76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  <w:bookmarkStart w:id="1" w:name="_GoBack"/>
            <w:bookmarkEnd w:id="1"/>
          </w:p>
        </w:tc>
      </w:tr>
      <w:tr>
        <w:trPr>
          <w:trHeight w:hRule="atLeast" w:val="300"/>
        </w:trPr>
        <w:tc>
          <w:tcPr>
            <w:tcW w:type="dxa" w:w="949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77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8. </w:t>
            </w:r>
          </w:p>
        </w:tc>
        <w:tc>
          <w:tcPr>
            <w:tcW w:type="dxa" w:w="30731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78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Добавить  под</w:t>
            </w:r>
            <w:r>
              <w:rPr>
                <w:rFonts w:ascii="Calibri" w:hAnsi="Calibri"/>
                <w:color w:val="000000"/>
              </w:rPr>
              <w:t xml:space="preserve"> форматом :</w:t>
            </w:r>
          </w:p>
        </w:tc>
      </w:tr>
      <w:tr>
        <w:trPr>
          <w:trHeight w:hRule="atLeast" w:val="1200"/>
        </w:trPr>
        <w:tc>
          <w:tcPr>
            <w:tcW w:type="dxa" w:w="949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79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31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7A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Оперативные сведения о докладах, спикерах, тайминге и точном месте проведения </w:t>
            </w:r>
            <w:r>
              <w:rPr>
                <w:rFonts w:ascii="Calibri" w:hAnsi="Calibri"/>
                <w:color w:val="000000"/>
              </w:rPr>
              <w:t>семинара( 1</w:t>
            </w:r>
            <w:r>
              <w:rPr>
                <w:rFonts w:ascii="Calibri" w:hAnsi="Calibri"/>
                <w:color w:val="000000"/>
              </w:rPr>
              <w:t xml:space="preserve"> и 2-ой день могут быть проведены в разных местах , в зависимости от количества зарегестрировавшихся участников ) можно получить в телеграмм канале @summa_tech_ai. Подписывайтесь, чтобы иметь оперативную информацию.</w:t>
            </w:r>
          </w:p>
        </w:tc>
      </w:tr>
      <w:tr>
        <w:trPr>
          <w:trHeight w:hRule="atLeast" w:val="300"/>
        </w:trPr>
        <w:tc>
          <w:tcPr>
            <w:tcW w:type="dxa" w:w="949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7B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31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7C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300"/>
        </w:trPr>
        <w:tc>
          <w:tcPr>
            <w:tcW w:type="dxa" w:w="949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7D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</w:t>
            </w:r>
          </w:p>
        </w:tc>
        <w:tc>
          <w:tcPr>
            <w:tcW w:type="dxa" w:w="30731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7E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Задать любой вопрос можно в письме или прямо в чате </w:t>
            </w:r>
            <w:r>
              <w:rPr>
                <w:rFonts w:ascii="Calibri" w:hAnsi="Calibri"/>
                <w:color w:val="000000"/>
              </w:rPr>
              <w:t>канала .</w:t>
            </w:r>
            <w:r>
              <w:rPr>
                <w:rFonts w:ascii="Calibri" w:hAnsi="Calibri"/>
                <w:color w:val="000000"/>
              </w:rPr>
              <w:t xml:space="preserve"> </w:t>
            </w:r>
          </w:p>
        </w:tc>
      </w:tr>
      <w:tr>
        <w:trPr>
          <w:trHeight w:hRule="atLeast" w:val="300"/>
        </w:trPr>
        <w:tc>
          <w:tcPr>
            <w:tcW w:type="dxa" w:w="949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7F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type="dxa" w:w="30731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80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hRule="atLeast" w:val="300"/>
        </w:trPr>
        <w:tc>
          <w:tcPr>
            <w:tcW w:type="dxa" w:w="949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81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10.</w:t>
            </w:r>
          </w:p>
        </w:tc>
        <w:tc>
          <w:tcPr>
            <w:tcW w:type="dxa" w:w="30731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82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Внизу :</w:t>
            </w:r>
            <w:r>
              <w:rPr>
                <w:rFonts w:ascii="Calibri" w:hAnsi="Calibri"/>
                <w:color w:val="000000"/>
              </w:rPr>
              <w:t xml:space="preserve"> Васильевский остров заменить на Санкт- Петербург Уральская 1Ю.</w:t>
            </w:r>
          </w:p>
        </w:tc>
      </w:tr>
      <w:tr>
        <w:trPr>
          <w:trHeight w:hRule="atLeast" w:val="300"/>
        </w:trPr>
        <w:tc>
          <w:tcPr>
            <w:tcW w:type="dxa" w:w="949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83000000">
            <w:pPr>
              <w:widowControl w:val="1"/>
              <w:spacing w:after="0" w:line="240" w:lineRule="auto"/>
              <w:ind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11.</w:t>
            </w:r>
          </w:p>
        </w:tc>
        <w:tc>
          <w:tcPr>
            <w:tcW w:type="dxa" w:w="30731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vAlign w:val="bottom"/>
          </w:tcPr>
          <w:p w14:paraId="84000000">
            <w:pPr>
              <w:widowControl w:val="1"/>
              <w:spacing w:after="0" w:line="240" w:lineRule="auto"/>
              <w:ind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Для </w:t>
            </w:r>
            <w:r>
              <w:rPr>
                <w:rFonts w:ascii="Calibri" w:hAnsi="Calibri"/>
                <w:color w:val="000000"/>
              </w:rPr>
              <w:t>донатов :</w:t>
            </w:r>
            <w:r>
              <w:rPr>
                <w:rFonts w:ascii="Calibri" w:hAnsi="Calibri"/>
                <w:color w:val="000000"/>
              </w:rPr>
              <w:t xml:space="preserve"> </w:t>
            </w:r>
          </w:p>
        </w:tc>
      </w:tr>
    </w:tbl>
    <w:p w14:paraId="85000000"/>
    <w:sectPr>
      <w:pgSz w:h="16838" w:orient="portrait" w:w="11906"/>
      <w:pgMar w:bottom="1134" w:footer="708" w:gutter="0" w:header="708" w:left="1701" w:right="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2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Default Paragraph Font"/>
    <w:link w:val="Style_9_ch"/>
  </w:style>
  <w:style w:styleId="Style_9_ch" w:type="character">
    <w:name w:val="Default Paragraph Font"/>
    <w:link w:val="Style_9"/>
  </w:style>
  <w:style w:styleId="Style_10" w:type="paragraph">
    <w:name w:val="toc 3"/>
    <w:next w:val="Style_2"/>
    <w:link w:val="Style_10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0_ch" w:type="character">
    <w:name w:val="toc 3"/>
    <w:link w:val="Style_10"/>
    <w:rPr>
      <w:rFonts w:ascii="XO Thames" w:hAnsi="XO Thames"/>
      <w:sz w:val="28"/>
    </w:rPr>
  </w:style>
  <w:style w:styleId="Style_11" w:type="paragraph">
    <w:name w:val="heading 5"/>
    <w:next w:val="Style_2"/>
    <w:link w:val="Style_1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1_ch" w:type="character">
    <w:name w:val="heading 5"/>
    <w:link w:val="Style_11"/>
    <w:rPr>
      <w:rFonts w:ascii="XO Thames" w:hAnsi="XO Thames"/>
      <w:b w:val="1"/>
      <w:sz w:val="22"/>
    </w:rPr>
  </w:style>
  <w:style w:styleId="Style_12" w:type="paragraph">
    <w:name w:val="heading 1"/>
    <w:next w:val="Style_2"/>
    <w:link w:val="Style_12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2_ch" w:type="character">
    <w:name w:val="heading 1"/>
    <w:link w:val="Style_12"/>
    <w:rPr>
      <w:rFonts w:ascii="XO Thames" w:hAnsi="XO Thames"/>
      <w:b w:val="1"/>
      <w:sz w:val="32"/>
    </w:rPr>
  </w:style>
  <w:style w:styleId="Style_13" w:type="paragraph">
    <w:name w:val="Hyperlink"/>
    <w:link w:val="Style_13_ch"/>
    <w:rPr>
      <w:color w:val="0000FF"/>
      <w:u w:val="single"/>
    </w:rPr>
  </w:style>
  <w:style w:styleId="Style_13_ch" w:type="character">
    <w:name w:val="Hyperlink"/>
    <w:link w:val="Style_13"/>
    <w:rPr>
      <w:color w:val="0000FF"/>
      <w:u w:val="single"/>
    </w:rPr>
  </w:style>
  <w:style w:styleId="Style_14" w:type="paragraph">
    <w:name w:val="Footnote"/>
    <w:link w:val="Style_14_ch"/>
    <w:pPr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Footnote"/>
    <w:link w:val="Style_14"/>
    <w:rPr>
      <w:rFonts w:ascii="XO Thames" w:hAnsi="XO Thames"/>
      <w:sz w:val="22"/>
    </w:rPr>
  </w:style>
  <w:style w:styleId="Style_15" w:type="paragraph">
    <w:name w:val="toc 1"/>
    <w:next w:val="Style_2"/>
    <w:link w:val="Style_1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5_ch" w:type="character">
    <w:name w:val="toc 1"/>
    <w:link w:val="Style_15"/>
    <w:rPr>
      <w:rFonts w:ascii="XO Thames" w:hAnsi="XO Thames"/>
      <w:b w:val="1"/>
      <w:sz w:val="28"/>
    </w:rPr>
  </w:style>
  <w:style w:styleId="Style_16" w:type="paragraph">
    <w:name w:val="Header and Footer"/>
    <w:link w:val="Style_16_ch"/>
    <w:pPr>
      <w:spacing w:line="240" w:lineRule="auto"/>
      <w:ind/>
      <w:jc w:val="both"/>
    </w:pPr>
    <w:rPr>
      <w:rFonts w:ascii="XO Thames" w:hAnsi="XO Thames"/>
      <w:sz w:val="28"/>
    </w:rPr>
  </w:style>
  <w:style w:styleId="Style_16_ch" w:type="character">
    <w:name w:val="Header and Footer"/>
    <w:link w:val="Style_16"/>
    <w:rPr>
      <w:rFonts w:ascii="XO Thames" w:hAnsi="XO Thames"/>
      <w:sz w:val="28"/>
    </w:rPr>
  </w:style>
  <w:style w:styleId="Style_17" w:type="paragraph">
    <w:name w:val="toc 9"/>
    <w:next w:val="Style_2"/>
    <w:link w:val="Style_17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7_ch" w:type="character">
    <w:name w:val="toc 9"/>
    <w:link w:val="Style_17"/>
    <w:rPr>
      <w:rFonts w:ascii="XO Thames" w:hAnsi="XO Thames"/>
      <w:sz w:val="28"/>
    </w:rPr>
  </w:style>
  <w:style w:styleId="Style_18" w:type="paragraph">
    <w:name w:val="toc 8"/>
    <w:next w:val="Style_2"/>
    <w:link w:val="Style_18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8_ch" w:type="character">
    <w:name w:val="toc 8"/>
    <w:link w:val="Style_18"/>
    <w:rPr>
      <w:rFonts w:ascii="XO Thames" w:hAnsi="XO Thames"/>
      <w:sz w:val="28"/>
    </w:rPr>
  </w:style>
  <w:style w:styleId="Style_19" w:type="paragraph">
    <w:name w:val="toc 5"/>
    <w:next w:val="Style_2"/>
    <w:link w:val="Style_19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9_ch" w:type="character">
    <w:name w:val="toc 5"/>
    <w:link w:val="Style_19"/>
    <w:rPr>
      <w:rFonts w:ascii="XO Thames" w:hAnsi="XO Thames"/>
      <w:sz w:val="28"/>
    </w:rPr>
  </w:style>
  <w:style w:styleId="Style_20" w:type="paragraph">
    <w:name w:val="Subtitle"/>
    <w:next w:val="Style_2"/>
    <w:link w:val="Style_20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0_ch" w:type="character">
    <w:name w:val="Subtitle"/>
    <w:link w:val="Style_20"/>
    <w:rPr>
      <w:rFonts w:ascii="XO Thames" w:hAnsi="XO Thames"/>
      <w:i w:val="1"/>
      <w:sz w:val="24"/>
    </w:rPr>
  </w:style>
  <w:style w:styleId="Style_21" w:type="paragraph">
    <w:name w:val="Title"/>
    <w:next w:val="Style_2"/>
    <w:link w:val="Style_21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1_ch" w:type="character">
    <w:name w:val="Title"/>
    <w:link w:val="Style_21"/>
    <w:rPr>
      <w:rFonts w:ascii="XO Thames" w:hAnsi="XO Thames"/>
      <w:b w:val="1"/>
      <w:caps w:val="1"/>
      <w:sz w:val="40"/>
    </w:rPr>
  </w:style>
  <w:style w:styleId="Style_22" w:type="paragraph">
    <w:name w:val="heading 4"/>
    <w:next w:val="Style_2"/>
    <w:link w:val="Style_22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2_ch" w:type="character">
    <w:name w:val="heading 4"/>
    <w:link w:val="Style_22"/>
    <w:rPr>
      <w:rFonts w:ascii="XO Thames" w:hAnsi="XO Thames"/>
      <w:b w:val="1"/>
      <w:sz w:val="24"/>
    </w:rPr>
  </w:style>
  <w:style w:styleId="Style_23" w:type="paragraph">
    <w:name w:val="heading 2"/>
    <w:next w:val="Style_2"/>
    <w:link w:val="Style_23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3_ch" w:type="character">
    <w:name w:val="heading 2"/>
    <w:link w:val="Style_23"/>
    <w:rPr>
      <w:rFonts w:ascii="XO Thames" w:hAnsi="XO Thames"/>
      <w:b w:val="1"/>
      <w:sz w:val="28"/>
    </w:rPr>
  </w:style>
  <w:style w:default="1" w:styleId="Style_1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2026-10-07T11:54:00Z</dcterms:created>
  <dcterms:modified xsi:type="dcterms:W3CDTF">2026-10-08T09:18:03Z</dcterms:modified>
</cp:coreProperties>
</file>