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so" ContentType="application/octet-stream"/>
  <Override PartName="/word/media/rId38.so" ContentType="application/octet-stream"/>
  <Override PartName="/word/media/rId73.so" ContentType="application/octet-stream"/>
  <Override PartName="/word/media/rId32.so" ContentType="application/octet-stream"/>
  <Override PartName="/word/media/rId67.so" ContentType="application/octet-stream"/>
  <Override PartName="/word/media/rId64.so" ContentType="application/octet-stream"/>
  <Override PartName="/word/media/rId44.so" ContentType="application/octet-stream"/>
  <Override PartName="/word/media/rId79.so" ContentType="application/octet-stream"/>
  <Override PartName="/word/media/rId41.so" ContentType="application/octet-stream"/>
  <Override PartName="/word/media/rId76.so" ContentType="application/octet-stream"/>
  <Override PartName="/word/media/rId47.so" ContentType="application/octet-stream"/>
  <Override PartName="/word/media/rId82.so" ContentType="application/octet-stream"/>
  <Override PartName="/word/media/rId94.so" ContentType="application/octet-stream"/>
  <Override PartName="/word/media/rId53.so" ContentType="application/octet-stream"/>
  <Override PartName="/word/media/rId91.so" ContentType="application/octet-stream"/>
  <Override PartName="/word/media/rId59.so" ContentType="application/octet-stream"/>
  <Override PartName="/word/media/rId100.so" ContentType="application/octet-stream"/>
  <Override PartName="/word/media/rId35.so" ContentType="application/octet-stream"/>
  <Override PartName="/word/media/rId70.so" ContentType="application/octet-stream"/>
  <Override PartName="/word/media/rId50.so" ContentType="application/octet-stream"/>
  <Override PartName="/word/media/rId85.so" ContentType="application/octet-stream"/>
  <Override PartName="/word/media/rId88.so" ContentType="application/octet-stream"/>
  <Override PartName="/word/media/rId56.so" ContentType="application/octet-stream"/>
  <Override PartName="/word/media/rId97.so" ContentType="application/octet-stream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Chapter2</w:t>
      </w:r>
    </w:p>
    <w:p>
      <w:pPr>
        <w:pStyle w:val="Author"/>
      </w:pPr>
      <w:r>
        <w:t xml:space="preserve">AndreyPovaliy</w:t>
      </w:r>
    </w:p>
    <w:p>
      <w:pPr>
        <w:pStyle w:val="Date"/>
      </w:pPr>
      <w:r>
        <w:t xml:space="preserve">2023-09-29</w:t>
      </w:r>
    </w:p>
    <w:bookmarkStart w:id="115" w:name="глава-2.-матриалы-и-методы"/>
    <w:p>
      <w:pPr>
        <w:pStyle w:val="Heading1"/>
      </w:pPr>
      <w:r>
        <w:t xml:space="preserve">ГЛАВА 2. МАТРИАЛЫ И МЕТОДЫ</w:t>
      </w:r>
    </w:p>
    <w:p>
      <w:pPr>
        <w:pStyle w:val="FirstParagraph"/>
      </w:pPr>
      <w:r>
        <w:t xml:space="preserve">В настоящей главе будут подробно представлены данные о дизайне исследования, подробное описание используемых диагностических методов, регистрируемых данных и классификаторов.</w:t>
      </w:r>
    </w:p>
    <w:bookmarkStart w:id="20" w:name="общая-характеристика-исследования"/>
    <w:p>
      <w:pPr>
        <w:pStyle w:val="Heading2"/>
      </w:pPr>
      <w:r>
        <w:t xml:space="preserve">2.1 Общая характеристика исследования</w:t>
      </w:r>
    </w:p>
    <w:p>
      <w:pPr>
        <w:pStyle w:val="FirstParagraph"/>
      </w:pPr>
      <w:r>
        <w:t xml:space="preserve">Исследование можно характеризовать как клиническое исследование диагностических аспектов раннней диагностики рака молочной железы.</w:t>
      </w:r>
      <w:r>
        <w:t xml:space="preserve"> </w:t>
      </w:r>
      <w:r>
        <w:t xml:space="preserve">Обектом исследования являются новобразования молочной железы, регистрируемые при дигностике с использованием ручного ультразвукого исследования (УЗИ), маммографии (ММГ) и автоматизированного объемного УЗИ сканирования молочных желез (ABUS).</w:t>
      </w:r>
      <w:r>
        <w:t xml:space="preserve"> </w:t>
      </w:r>
      <w:r>
        <w:t xml:space="preserve">Предметом исследования является изучение диагностической эффективности автоматизированного объемного УЗИ сканирования молочных желез, а также анализ наиболее важных факторов как преддиагностическом этапе, так и при выполнении конкретного диагностического метода, в частности при выполнении автоматизированного объемного УЗИ сканирования молочных желез.</w:t>
      </w:r>
      <w:r>
        <w:t xml:space="preserve"> </w:t>
      </w:r>
      <w:r>
        <w:t xml:space="preserve">Дизайн исследования можно охарактеризовать ретро-проспективное наблюдательное исследование.</w:t>
      </w:r>
      <w:r>
        <w:t xml:space="preserve"> </w:t>
      </w:r>
      <w:r>
        <w:t xml:space="preserve">Протокол настоящего исследования был одобрен на заседании локального этического комитета СЗГМУ им.</w:t>
      </w:r>
      <w:r>
        <w:t xml:space="preserve"> </w:t>
      </w:r>
      <w:r>
        <w:t xml:space="preserve">Мечникова №00 от ХХ.ХХ.ХХХХ года.</w:t>
      </w:r>
    </w:p>
    <w:p>
      <w:pPr>
        <w:pStyle w:val="BodyText"/>
      </w:pPr>
      <w:r>
        <w:t xml:space="preserve">Всего в исследование вошло 2794 пациенток.</w:t>
      </w:r>
      <w:r>
        <w:t xml:space="preserve"> </w:t>
      </w:r>
      <w:r>
        <w:t xml:space="preserve">Критерии включения были пациенты женского пола в возрасте от 18 до 80 лет; женщина, посетившая врача для обследования рака молочной железы, с отсутствием видимых признаков рака молочной железы.</w:t>
      </w:r>
      <w:r>
        <w:t xml:space="preserve"> </w:t>
      </w:r>
      <w:r>
        <w:t xml:space="preserve">Критериями исключения были: женщины, которые были беременны, кормили грудью или планировали забеременеть; оперативное лечение в анамнезе (лампэктомия, мастэктомия, увеличение груди), Эксцизионная или чрескожная биопсия за последние 12 месяцев,пациентки получавшие лечение по поводу рака молочных желез за последние 12 месяцев.</w:t>
      </w:r>
      <w:r>
        <w:t xml:space="preserve"> </w:t>
      </w:r>
      <w:r>
        <w:t xml:space="preserve">В это исследование была включена одна медицинская клиника- СМТ, состоящая из двух зданий -амбулаторно-поликлического комплекса и хирургического корпуса со стационаром.</w:t>
      </w:r>
      <w:r>
        <w:t xml:space="preserve"> </w:t>
      </w:r>
      <w:r>
        <w:t xml:space="preserve">Все женщины из амбулаторного отделения были приглашены для участия в нашем исследовании, участники подписали форму информированного согласия.</w:t>
      </w:r>
      <w:r>
        <w:t xml:space="preserve"> </w:t>
      </w:r>
      <w:r>
        <w:t xml:space="preserve">Все обследования были проведены медицинским персоналом с соответствующей квалификацией.</w:t>
      </w:r>
      <w:r>
        <w:t xml:space="preserve"> </w:t>
      </w:r>
      <w:r>
        <w:t xml:space="preserve">Всем провели клинический осмотр, пальпацию, собрали информацию о социально-демографических данных и потенциальных факторах риска РМЖ.</w:t>
      </w:r>
    </w:p>
    <w:p>
      <w:pPr>
        <w:pStyle w:val="BodyText"/>
      </w:pPr>
      <w:r>
        <w:t xml:space="preserve">Все пациентки были разделены на 2 независимые друг от друга выборки по принципу возраста: выборка пациенток с возрастом до 40 лет и выборка пациенток с возрастом от 40 лет включительно.</w:t>
      </w:r>
      <w:r>
        <w:t xml:space="preserve"> </w:t>
      </w:r>
      <w:r>
        <w:t xml:space="preserve">Принцип разделения по возрасту был связан с различными принципами использования диагностических методов в скрининге рака молочной железы.</w:t>
      </w:r>
      <w:r>
        <w:t xml:space="preserve"> </w:t>
      </w:r>
      <w:r>
        <w:t xml:space="preserve">У пациенток моложе 40 лет ММГ менее эффективна, так как низкая чувствительность метода и основным методом диагности используется УЗИ метод</w:t>
      </w:r>
      <w:r>
        <w:t xml:space="preserve"> </w:t>
      </w:r>
      <w:r>
        <w:t xml:space="preserve">(Mandelson et al. 2000)</w:t>
      </w:r>
      <w:r>
        <w:t xml:space="preserve">.</w:t>
      </w:r>
      <w:r>
        <w:t xml:space="preserve"> </w:t>
      </w:r>
      <w:r>
        <w:t xml:space="preserve">У пациенток моложе от 40 лет метод ММГ является обязательным в скрининге РМЖ</w:t>
      </w:r>
      <w:r>
        <w:t xml:space="preserve"> </w:t>
      </w:r>
      <w:r>
        <w:t xml:space="preserve">(Narayan, Lee, and Lehman 2020)</w:t>
      </w:r>
      <w:r>
        <w:t xml:space="preserve">.</w:t>
      </w:r>
      <w:r>
        <w:t xml:space="preserve"> </w:t>
      </w:r>
      <w:r>
        <w:t xml:space="preserve">Более подробно об используемых методах можно прочитать в разделе</w:t>
      </w:r>
      <w:r>
        <w:t xml:space="preserve"> </w:t>
      </w:r>
      <w:r>
        <w:t xml:space="preserve">“</w:t>
      </w:r>
      <w:r>
        <w:t xml:space="preserve">2.3 Описание диагностических методов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В выборку до 40 лет вошло 1511 пацинеток.</w:t>
      </w:r>
      <w:r>
        <w:t xml:space="preserve"> </w:t>
      </w:r>
      <w:r>
        <w:t xml:space="preserve">Эта выборка пациенток была разделена на две группы A и B.</w:t>
      </w:r>
      <w:r>
        <w:t xml:space="preserve"> </w:t>
      </w:r>
      <w:r>
        <w:t xml:space="preserve">В группу A вошло 724 пациенток и в это группе скрининг проводился с использовонием мануальной УЗИ диагностики и и автоматизированного объемного УЗИ сканирования молочных желез (исследуемая группа).</w:t>
      </w:r>
      <w:r>
        <w:t xml:space="preserve"> </w:t>
      </w:r>
      <w:r>
        <w:t xml:space="preserve">В группу B вошло 787 пациенток и в этой группе скрининг проводился только с исползовонием ручного УЗИ диагностики (котнтрольная группа).</w:t>
      </w:r>
      <w:r>
        <w:t xml:space="preserve"> </w:t>
      </w:r>
      <w:r>
        <w:t xml:space="preserve">В выборку 40 лет и старше вошло 1283 пацинеток.</w:t>
      </w:r>
      <w:r>
        <w:t xml:space="preserve"> </w:t>
      </w:r>
      <w:r>
        <w:t xml:space="preserve">Эта выборка пациенток была разделена на две группы С и D.</w:t>
      </w:r>
      <w:r>
        <w:t xml:space="preserve"> </w:t>
      </w:r>
      <w:r>
        <w:t xml:space="preserve">В группу С вошло 655 пациенток и в это группе скрининг проводился с использовонием ручного УЗИ, маммографии и автоматизированного объемного УЗИ сканирования молочных желез (исследуемая группа).</w:t>
      </w:r>
      <w:r>
        <w:t xml:space="preserve"> </w:t>
      </w:r>
      <w:r>
        <w:t xml:space="preserve">В группу D вошло 628 пациенток и в этой группе скрининг проводился только с исползовонием ручного УЗИ и маммографии (котнтрольная группа).</w:t>
      </w:r>
      <w:r>
        <w:t xml:space="preserve"> </w:t>
      </w:r>
      <w:r>
        <w:t xml:space="preserve">Подробное описание выборок и групп представлено в разделе</w:t>
      </w:r>
      <w:r>
        <w:t xml:space="preserve"> </w:t>
      </w:r>
      <w:r>
        <w:t xml:space="preserve">“</w:t>
      </w:r>
      <w:r>
        <w:t xml:space="preserve">2.5 Описание исследуемых групп</w:t>
      </w:r>
      <w:r>
        <w:t xml:space="preserve">”</w:t>
      </w:r>
      <w:r>
        <w:t xml:space="preserve">.</w:t>
      </w:r>
      <w:r>
        <w:t xml:space="preserve"> </w:t>
      </w:r>
      <w:r>
        <w:t xml:space="preserve">Включение указанного количества пациенток в группы было основано на расчете мощности, более подробно можно прочитать в разделе</w:t>
      </w:r>
      <w:r>
        <w:t xml:space="preserve"> </w:t>
      </w:r>
      <w:r>
        <w:t xml:space="preserve">“</w:t>
      </w:r>
      <w:r>
        <w:t xml:space="preserve">2.6 Статистический анализ данных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Диагностический этап, где проводилась непосредственно диагностическое исследование с использованием методом ручного УЗИ исследования, маммографии и автоматизированного объемного УЗИ сканирования молочных желез в зависимости от группы распределения.</w:t>
      </w:r>
    </w:p>
    <w:p>
      <w:pPr>
        <w:pStyle w:val="BodyText"/>
      </w:pPr>
      <w:r>
        <w:t xml:space="preserve">Ппроизводился сбор данных для последующего выления наиболее значимых факторов, а также выявления эффективности изучаемых методов и прогностической ценности метода.</w:t>
      </w:r>
    </w:p>
    <w:bookmarkEnd w:id="20"/>
    <w:bookmarkStart w:id="26" w:name="описание-диагностических-методов"/>
    <w:p>
      <w:pPr>
        <w:pStyle w:val="Heading2"/>
      </w:pPr>
      <w:r>
        <w:t xml:space="preserve">2.2 Описание диагностических методов</w:t>
      </w:r>
    </w:p>
    <w:bookmarkStart w:id="21" w:name="ручное-узи-исследование"/>
    <w:p>
      <w:pPr>
        <w:pStyle w:val="Heading3"/>
      </w:pPr>
      <w:r>
        <w:t xml:space="preserve">2.2.1 Ручное УЗИ исследование</w:t>
      </w:r>
    </w:p>
    <w:p>
      <w:pPr>
        <w:pStyle w:val="FirstParagraph"/>
      </w:pPr>
      <w:r>
        <w:t xml:space="preserve">HHUS выполняли два врача ультразвуковой диагностики со стажем работы более 7 лет.</w:t>
      </w:r>
      <w:r>
        <w:t xml:space="preserve"> </w:t>
      </w:r>
      <w:r>
        <w:t xml:space="preserve">Исследование проводилось в положении лежа, с руками за головой, с последовательным сканированием каждого квадранта обеих молочных железе в сагитальной и аксиальной плоскостях, с исследованием ретроареолярной области и аксиллярных областей с двух сторон.</w:t>
      </w:r>
      <w:r>
        <w:t xml:space="preserve"> </w:t>
      </w:r>
      <w:r>
        <w:t xml:space="preserve">Устройства, используемые для проведения HHUS включали GE LOGIQS 8 (GE Medical Systems, Милуоки, Висконсин, США), Toshiba Aplio 300(Canon Япония)- ультразвуковые системы экспертного класса.</w:t>
      </w:r>
    </w:p>
    <w:bookmarkEnd w:id="21"/>
    <w:bookmarkStart w:id="22" w:name="X9f3dfb733160e8aed3b0279978944fd01cd7d08"/>
    <w:p>
      <w:pPr>
        <w:pStyle w:val="Heading3"/>
      </w:pPr>
      <w:r>
        <w:t xml:space="preserve">2.3.2 Автоматизированное объемное УЗИ сканирование молочных желез (ABUS)</w:t>
      </w:r>
    </w:p>
    <w:p>
      <w:pPr>
        <w:pStyle w:val="FirstParagraph"/>
      </w:pPr>
      <w:r>
        <w:t xml:space="preserve">D-автоматизированная ультразвуковая система Invenia (ABUS) оцениваемая в данном исследовании, производства GE Healthcare (Саннивейл, Калифорния, США) 2018 года выпуска— это компьютерная система для оценки плотной молочной железы.</w:t>
      </w:r>
    </w:p>
    <w:p>
      <w:pPr>
        <w:pStyle w:val="BodyText"/>
      </w:pPr>
      <w:r>
        <w:t xml:space="preserve">Каждая молочная железа была визуализирована в трех проекциях: боковой (LAT), переднезадней (AP).и медиальный (MED) с автоматическим датчиком с линейной матрицей от 6 до 14 МГц, прикрепленным к жесткой компрессионной пластине.(площадь 15,4×17,0×5,0 см).Индивидуальная мембрана для датчика была использована для каждой пациентки.</w:t>
      </w:r>
      <w:r>
        <w:t xml:space="preserve"> </w:t>
      </w:r>
      <w:r>
        <w:t xml:space="preserve">Во время исследования система получала до 300 2D-срезов и реконструировала их в коронарной плоскости.</w:t>
      </w:r>
      <w:r>
        <w:t xml:space="preserve"> </w:t>
      </w:r>
      <w:r>
        <w:t xml:space="preserve">Стандартизированный процесс осмотра включает использование запатентованной коронарной плоскости для быстрой навигации по молочной железе, а также использование «режима обзора», позволяющего врачу быстро интерпретировать изображения.</w:t>
      </w:r>
      <w:r>
        <w:t xml:space="preserve"> </w:t>
      </w:r>
      <w:r>
        <w:t xml:space="preserve">Время сбора данных для каждой проекции составляло 60 с, примерно по 3–4 мин на каждую молочную железу.</w:t>
      </w:r>
      <w:r>
        <w:t xml:space="preserve"> </w:t>
      </w:r>
      <w:r>
        <w:t xml:space="preserve">Обследование проводили в положении лежа.</w:t>
      </w:r>
      <w:r>
        <w:t xml:space="preserve"> </w:t>
      </w:r>
      <w:r>
        <w:t xml:space="preserve">Полотенце было помещено под плечом, что помогло расправить ткань молочной железы равномерно, соском к потолку.</w:t>
      </w:r>
      <w:r>
        <w:t xml:space="preserve"> </w:t>
      </w:r>
      <w:r>
        <w:t xml:space="preserve">На молочные железы равномерно наносили гипоаллергенный ультразвуковой гель с дополнительным количество на область соска..</w:t>
      </w:r>
      <w:r>
        <w:t xml:space="preserve"> </w:t>
      </w:r>
      <w:r>
        <w:t xml:space="preserve">Возможно применение трех уровней компрессии датчика для исследования молочных желез для получения наилучшей визуализации с учетом комфорта пациента.</w:t>
      </w:r>
    </w:p>
    <w:p>
      <w:pPr>
        <w:pStyle w:val="BodyText"/>
      </w:pPr>
      <w:r>
        <w:t xml:space="preserve">Сканирование ABUS было непрерывным и автоматизированным.В течение исследования женщин попросили не двигаться, не разговаривать и дышать ровно.</w:t>
      </w:r>
      <w:r>
        <w:t xml:space="preserve"> </w:t>
      </w:r>
      <w:r>
        <w:t xml:space="preserve">Выполнял исследование сертифицированный персонал со средним медицинским образованием.</w:t>
      </w:r>
      <w:r>
        <w:t xml:space="preserve"> </w:t>
      </w:r>
      <w:r>
        <w:t xml:space="preserve">После завершения сбора данных ультразвуковой системой весь массив передавался на специальную рабочую станцию для интерпретации.</w:t>
      </w:r>
      <w:r>
        <w:t xml:space="preserve"> </w:t>
      </w:r>
      <w:r>
        <w:t xml:space="preserve">Оценку изображений ABUS выполнял один врач ультразвуковой диагностики, со стажем работы более 7 лет.</w:t>
      </w:r>
      <w:r>
        <w:t xml:space="preserve"> </w:t>
      </w:r>
      <w:r>
        <w:t xml:space="preserve">Общее время, необходимое для подготовки пациента и получения ABUS, фиксировалось, в каждом случае и варьировалось примерно между 10 и 15 мин.</w:t>
      </w:r>
    </w:p>
    <w:bookmarkEnd w:id="22"/>
    <w:bookmarkStart w:id="23" w:name="маммография"/>
    <w:p>
      <w:pPr>
        <w:pStyle w:val="Heading3"/>
      </w:pPr>
      <w:r>
        <w:t xml:space="preserve">2.3.3 Маммография</w:t>
      </w:r>
    </w:p>
    <w:p>
      <w:pPr>
        <w:pStyle w:val="FirstParagraph"/>
      </w:pPr>
      <w:r>
        <w:t xml:space="preserve">Пациентки старше 40 лет прошли двухпроекционную цифровую маммографию (в медиалатеральной косой и краниокаудальной проекции)обеих молочных желез.</w:t>
      </w:r>
      <w:r>
        <w:t xml:space="preserve"> </w:t>
      </w:r>
      <w:r>
        <w:t xml:space="preserve">Маммографию также выполняли женщинам моложе 40 лет в случае положительного семейного или личного анамнеза - рак молочной железы.</w:t>
      </w:r>
      <w:r>
        <w:t xml:space="preserve"> </w:t>
      </w:r>
      <w:r>
        <w:t xml:space="preserve">Использумемое оборудование- Planmed Clarity 3D с функцией томосинтеза (Финляндия).</w:t>
      </w:r>
      <w:r>
        <w:t xml:space="preserve"> </w:t>
      </w:r>
      <w:r>
        <w:t xml:space="preserve">Оценку изображений проводил один рентгенолог со стажем работы более 10 лет.</w:t>
      </w:r>
    </w:p>
    <w:bookmarkEnd w:id="23"/>
    <w:bookmarkStart w:id="24" w:name="магнитно-резонансная-томография"/>
    <w:p>
      <w:pPr>
        <w:pStyle w:val="Heading3"/>
      </w:pPr>
      <w:r>
        <w:t xml:space="preserve">2.3.4 Магнитно-резонансная томография</w:t>
      </w:r>
    </w:p>
    <w:p>
      <w:pPr>
        <w:pStyle w:val="FirstParagraph"/>
      </w:pPr>
      <w:r>
        <w:t xml:space="preserve">Диагностика МРТ проводилась на высокопольном магнитно-резонансном томографе General Electric Medical Systems Signa HDxt 1,5 Т (США).</w:t>
      </w:r>
      <w:r>
        <w:t xml:space="preserve"> </w:t>
      </w:r>
      <w:r>
        <w:t xml:space="preserve">Показаниями к проведению МРТ была поставленная после проведения ручного УЗИ категория 3 по классификации по BI-RADS.</w:t>
      </w:r>
    </w:p>
    <w:bookmarkEnd w:id="24"/>
    <w:bookmarkStart w:id="25" w:name="оценка-выявленных-изменений."/>
    <w:p>
      <w:pPr>
        <w:pStyle w:val="Heading3"/>
      </w:pPr>
      <w:r>
        <w:t xml:space="preserve">2.3.5 Оценка выявленных изменений.</w:t>
      </w:r>
    </w:p>
    <w:p>
      <w:pPr>
        <w:pStyle w:val="FirstParagraph"/>
      </w:pPr>
      <w:r>
        <w:t xml:space="preserve">Результаты выявленных изменений были классифицированы по BI-RADS отсортированы по шести категориям</w:t>
      </w:r>
      <w:r>
        <w:t xml:space="preserve"> </w:t>
      </w:r>
      <w:r>
        <w:t xml:space="preserve">(Spak et al. 2017)</w:t>
      </w:r>
      <w:r>
        <w:t xml:space="preserve">: 0 = неполные данные , 1 = нормальные, 2 = доброкачественные, 3 =вероятно доброкачественные, 4 = подозрительные, 5 = с высокой степенью вероятности злокачественные, для HHUS, ABUS и MG.</w:t>
      </w:r>
      <w:r>
        <w:t xml:space="preserve"> </w:t>
      </w:r>
      <w:r>
        <w:t xml:space="preserve">Для категории Birads 3 обязательно проводилась магнитно-резонансная томография (МРТ) для выявления истинно отрицательных и ложноотрицательных результатов.</w:t>
      </w:r>
      <w:r>
        <w:t xml:space="preserve"> </w:t>
      </w:r>
      <w:r>
        <w:t xml:space="preserve">Женщинам, отнесенным к категории 4 или 5, проводилась трепан биопсия под уз-наведением или стереотаксическим наведением с последующей морфологической и при необходимости иммуногистохимической верификацией.</w:t>
      </w:r>
    </w:p>
    <w:bookmarkEnd w:id="25"/>
    <w:bookmarkEnd w:id="26"/>
    <w:bookmarkStart w:id="27" w:name="X56fadda2366fa726ab801ee67cd6e72d3d112be"/>
    <w:p>
      <w:pPr>
        <w:pStyle w:val="Heading2"/>
      </w:pPr>
      <w:r>
        <w:t xml:space="preserve">2.4 Описание регистрируемых данных и их классификаторов</w:t>
      </w:r>
    </w:p>
    <w:bookmarkEnd w:id="27"/>
    <w:bookmarkStart w:id="104" w:name="описание-исследуемых-групп"/>
    <w:p>
      <w:pPr>
        <w:pStyle w:val="Heading2"/>
      </w:pPr>
      <w:r>
        <w:t xml:space="preserve">2.5 Описание исследуемых групп</w:t>
      </w:r>
    </w:p>
    <w:bookmarkStart w:id="28" w:name="X77e4c291d3a7b21a5484ff6a88cd4f5dcc58706"/>
    <w:p>
      <w:pPr>
        <w:pStyle w:val="Heading3"/>
      </w:pPr>
      <w:r>
        <w:t xml:space="preserve">2.5.1 Общее описание выборки пациенток до 40 лет</w:t>
      </w:r>
    </w:p>
    <w:p>
      <w:pPr>
        <w:pStyle w:val="FirstParagraph"/>
      </w:pPr>
      <w:r>
        <w:t xml:space="preserve">С февраля 2019 по май 2023 года было исследовано 1511 пациенток с возрастом до 40 лет.</w:t>
      </w:r>
    </w:p>
    <w:p>
      <w:pPr>
        <w:pStyle w:val="BodyText"/>
      </w:pPr>
      <w:r>
        <w:t xml:space="preserve">Медиана возраста пациенток выборке до 40 лет составила 35 [Q1-Q3: 32;37] лет.</w:t>
      </w:r>
      <w:r>
        <w:t xml:space="preserve"> </w:t>
      </w:r>
      <w:r>
        <w:t xml:space="preserve">Минимальный возраст составил 20 лет.</w:t>
      </w:r>
      <w:r>
        <w:t xml:space="preserve"> </w:t>
      </w:r>
      <w:r>
        <w:t xml:space="preserve">Максимальный возраст составил 39 лет.</w:t>
      </w:r>
      <w:r>
        <w:t xml:space="preserve"> </w:t>
      </w:r>
      <w:r>
        <w:t xml:space="preserve">Медиана роста пациенток выборке до 40 лет составил 167 [Q1-Q3: 164;170] см.</w:t>
      </w:r>
      <w:r>
        <w:t xml:space="preserve"> </w:t>
      </w:r>
      <w:r>
        <w:t xml:space="preserve">Медиана веса пациенток выборке до 40 лет составил 59 [Q1-Q3: 55;65] кг.</w:t>
      </w:r>
    </w:p>
    <w:p>
      <w:pPr>
        <w:pStyle w:val="BodyText"/>
      </w:pPr>
      <w:r>
        <w:t xml:space="preserve">В выборке до 40 лет были поставлены следующие диагнозы при первичном осмотре: «Без патологии» было 29.91% пациенток(452/1511 случаев) [95% ДИ 0.28;0.32], «Рак» был поставлен в 0.79% (12/1511 случаев) [95% ДИ 0;0.01], «Фиброаденома» была поставлена в 19.99% (302/1511 случаев) [95% ДИ 0.18;0.22], «Фиброзно-кистозная болезнь» в 25.61% (387/1511 случаев) [95% ДИ 0.23;0.28], «Киста» была в 6.42% (97/1511 случаев) [95% ДИ 0.05;0.08], «Листовидная опухоль» - 0.6% (9/1511 случаев) [95% ДИ 0;0.01], «Внутрипротоковая папиллома» - 0.4% (6/1511 случаев) [95% ДИ 0;0.01], «Гиперплазия» было 0.4% (6/1511 случаев) [95% ДИ 0;0.01], «Диффузный фиброаденоматоз» - 15.42% (233/1511 случаев) [95% ДИ 0.14;0.17] и «Локализованный фиброаденоматоз» - 0.46% (7/1511 случаев) [95% ДИ 0;0.01].</w:t>
      </w:r>
    </w:p>
    <w:p>
      <w:pPr>
        <w:pStyle w:val="BodyText"/>
      </w:pPr>
      <w:r>
        <w:t xml:space="preserve">Были выялены следующие жалобы: «выделения из соска» было 0.66% (10/1511 случаев) [95% ДИ 0;0.01], боль была в 5.03% (76/1511 случаев) [95% ДИ 0.04;0.06], «уплотнение» было в 9.4% (142/1511 случаев) [95% ДИ 0.08;0.11] и не было жалоб в 84.91% (1283/1511 случаев) [95% ДИ 0.83;0.87].</w:t>
      </w:r>
    </w:p>
    <w:p>
      <w:pPr>
        <w:pStyle w:val="BodyText"/>
      </w:pPr>
      <w:r>
        <w:t xml:space="preserve">Репродуктивный возраст был в 96.96% (1465/1511 случаев) [95% ДИ 0.96;0.98], пременопауза была в 3.04% (46/1511 случаев) [95% ДИ 0.02;0.04].</w:t>
      </w:r>
    </w:p>
    <w:p>
      <w:pPr>
        <w:pStyle w:val="BodyText"/>
      </w:pPr>
      <w:r>
        <w:t xml:space="preserve">Операций на молочной железе в анамнезе не было в 98.41% (1487/1511 случаев) [95% ДИ 0.98;0.99] и были в 1.59% (24/1511 случаев) [95% ДИ 0.01;0.02] .</w:t>
      </w:r>
    </w:p>
    <w:p>
      <w:pPr>
        <w:pStyle w:val="BodyText"/>
      </w:pPr>
      <w:r>
        <w:t xml:space="preserve">В выборке до 40 лет прием гормональных препаратов был в 21.05% (310/1511 случаев) [95% ДИ 0.19;0.23] и не отмечался в 8.95% (1163/1511 случаев) [95% ДИ 0.75;0.79].</w:t>
      </w:r>
    </w:p>
    <w:p>
      <w:pPr>
        <w:pStyle w:val="BodyText"/>
      </w:pPr>
      <w:r>
        <w:t xml:space="preserve">В выборке до 40 лет генетическая предрасположенность нет было в 68.57% (1023/1511 случаев) [95% ДИ 0.65;0.7], в то время как предрасположенность отмечалась в 31.43% (469/1511 случаев) [95% ДИ 0.29;0.33].</w:t>
      </w:r>
    </w:p>
    <w:p>
      <w:pPr>
        <w:pStyle w:val="BodyText"/>
      </w:pPr>
      <w:r>
        <w:t xml:space="preserve">Была выявлена мутация BRCA BRCA1 было 0.4% (6/1511 случаев) [95% ДИ 0;0.01], мутаций BRCA не выявлено было 1.19% (18/1511 случаев) [95% ДИ 0.01;0.02].</w:t>
      </w:r>
      <w:r>
        <w:t xml:space="preserve"> </w:t>
      </w:r>
      <w:r>
        <w:t xml:space="preserve">В остальных случаях исследования мутаций не проводилось.</w:t>
      </w:r>
    </w:p>
    <w:p>
      <w:pPr>
        <w:pStyle w:val="BodyText"/>
      </w:pPr>
      <w:r>
        <w:t xml:space="preserve">Сторона поражения при осмотре была правая в 11.25% (170/1511 случаев) [95% ДИ 0.1;0.13], левая в 6.55% (99/1511 случаев) [95% ДИ 0.05;0.08], поражения обеих сторон в 3.97% (60/1511 случаев) [95% ДИ 0.03;0.05], в остальных случаях образование не пальпировало - 78.23% (1182/1511 случаев) [95% ДИ 0.76;0.8].</w:t>
      </w:r>
    </w:p>
    <w:p>
      <w:pPr>
        <w:pStyle w:val="BodyText"/>
      </w:pPr>
      <w:r>
        <w:t xml:space="preserve">Кожные симптомы при осмотре нет было во всех 100% (1511/1511 случаев) [95% ДИ 1;1].</w:t>
      </w:r>
    </w:p>
    <w:p>
      <w:pPr>
        <w:pStyle w:val="BodyText"/>
      </w:pPr>
      <w:r>
        <w:t xml:space="preserve">В выборке до 40 лет втягивание соска при осмотре не было в 98.81% (1493/1511 случаев) [95% ДИ 0.98;0.99], было отмечено в 1.19% (18/1511 случаев) [95% ДИ 0.01;0.02].</w:t>
      </w:r>
    </w:p>
    <w:p>
      <w:pPr>
        <w:pStyle w:val="BodyText"/>
      </w:pPr>
      <w:r>
        <w:t xml:space="preserve">Выделения из соска при осмотре не было в 99.54% (1504/1511 случаев) [95% ДИ 0.99;1]., кровянистые выделения были в 0.46% (7/1511 случаев) [95% ДИ 0;0.01].</w:t>
      </w:r>
    </w:p>
    <w:p>
      <w:pPr>
        <w:pStyle w:val="BodyText"/>
      </w:pPr>
      <w:r>
        <w:t xml:space="preserve">Тип плотности по ACR при осмотре был «С» в 70.11% (1046/1511 случаев) [95% ДИ 0.67;0.72], тип «D» был в 29.89% (446/1511 случаев) [95% ДИ 0.27;0.32].</w:t>
      </w:r>
    </w:p>
    <w:p>
      <w:pPr>
        <w:pStyle w:val="BodyText"/>
      </w:pPr>
      <w:r>
        <w:t xml:space="preserve">Квадрант локализации верхне-нараружный был в 8.01% (121/1511 случаев) [95% ДИ 0.07;0.1], верхне-внутренний - 3.97% (60/1511 случаев) [95% ДИ 0.03;0.05], нижне-наружный - 2.38% (36/1511 случаев) [95% ДИ 0.02;0.03], нижне-внутренний было в 1.19% (18/1511 случаев) [95% ДИ 0.01;0.02], граница внутреннего - 1.72% (26/1511 случаев) [95% ДИ 0.01;0.03], граница наружного - 1.19% (18/1511 случаев) [95% ДИ 0.01;0.02], граница верхнего - 2.91% (44/1511 случаев) [95% ДИ 0.02;0.04], граница нижних - 0.86% (13/1511 случаев) [95% ДИ 0;0.02], вся железа - 0.4% (6/1511 случаев) [95% ДИ 0;0.01].</w:t>
      </w:r>
    </w:p>
    <w:bookmarkEnd w:id="28"/>
    <w:bookmarkStart w:id="62" w:name="описание-групп-в-пациенток-до-40-лет"/>
    <w:p>
      <w:pPr>
        <w:pStyle w:val="Heading3"/>
      </w:pPr>
      <w:r>
        <w:t xml:space="preserve">2.5.2 Описание групп в пациенток до 40 лет</w:t>
      </w:r>
    </w:p>
    <w:p>
      <w:pPr>
        <w:pStyle w:val="FirstParagraph"/>
      </w:pPr>
      <w:r>
        <w:t xml:space="preserve">В группу A вошло 787 пациенток.</w:t>
      </w:r>
      <w:r>
        <w:t xml:space="preserve"> </w:t>
      </w:r>
      <w:r>
        <w:t xml:space="preserve">Медиана возраста составила 35 [Q1-Q3: 32;37] лет.</w:t>
      </w:r>
      <w:r>
        <w:t xml:space="preserve"> </w:t>
      </w:r>
      <w:r>
        <w:t xml:space="preserve">Минимальный возраст составил 20 лет.</w:t>
      </w:r>
      <w:r>
        <w:t xml:space="preserve"> </w:t>
      </w:r>
      <w:r>
        <w:t xml:space="preserve">Максимальный возраст составил 39 лет.</w:t>
      </w:r>
      <w:r>
        <w:t xml:space="preserve"> </w:t>
      </w:r>
      <w:r>
        <w:t xml:space="preserve">Медиана роста составила 167 [Q1-Q3: 164;170] см.</w:t>
      </w:r>
      <w:r>
        <w:t xml:space="preserve"> </w:t>
      </w:r>
      <w:r>
        <w:t xml:space="preserve">Медиана веса составила 58 [Q1-Q3: 55;65] кг.</w:t>
      </w:r>
      <w:r>
        <w:t xml:space="preserve"> </w:t>
      </w:r>
      <w:r>
        <w:t xml:space="preserve">Пациенток в группе B в исследование вошло 724 пациентов.</w:t>
      </w:r>
      <w:r>
        <w:t xml:space="preserve"> </w:t>
      </w:r>
      <w:r>
        <w:t xml:space="preserve">Медиана возраста составила 34 [Q1-Q3: 31;37] лет.</w:t>
      </w:r>
      <w:r>
        <w:t xml:space="preserve"> </w:t>
      </w:r>
      <w:r>
        <w:t xml:space="preserve">Минимальный возраст составил 20 лет.</w:t>
      </w:r>
      <w:r>
        <w:t xml:space="preserve"> </w:t>
      </w:r>
      <w:r>
        <w:t xml:space="preserve">Максимальный возраст составил 39 лет.</w:t>
      </w:r>
      <w:r>
        <w:t xml:space="preserve"> </w:t>
      </w:r>
      <w:r>
        <w:t xml:space="preserve">Медиана роста оставила 167 [Q1-Q3: 164;170] см.</w:t>
      </w:r>
      <w:r>
        <w:t xml:space="preserve"> </w:t>
      </w:r>
      <w:r>
        <w:t xml:space="preserve">Медиана веса составила 60 [Q1-Q3: 55;65] кг.</w:t>
      </w:r>
      <w:r>
        <w:t xml:space="preserve"> </w:t>
      </w:r>
      <w:r>
        <w:t xml:space="preserve">Статистически значимой разницы по возрасту, росту, весу не было выявлено.</w:t>
      </w:r>
    </w:p>
    <w:p>
      <w:pPr>
        <w:pStyle w:val="BodyText"/>
      </w:pPr>
      <w:r>
        <w:rPr>
          <w:iCs/>
          <w:i/>
        </w:rPr>
        <w:t xml:space="preserve">Дигноз при первичном осмотре</w:t>
      </w:r>
    </w:p>
    <w:p>
      <w:pPr>
        <w:pStyle w:val="BodyText"/>
      </w:pPr>
      <w:r>
        <w:t xml:space="preserve">В группе А были поставлены следующие диагнозы: «Без патологии» было 32.15% (253/787 случаев ) [95% ДИ 0.29;0.36], «Рак» было 0.76% (6/787 случаев ) [95% ДИ 0;0.02], «Фиброаденома» в 15.63% (123/787 случаев ) [95% ДИ 0.13;0.18], «Фиброзно-кистозная болезнь» в 28.72% (226/787 случаев ) [95% ДИ 0.26;0.32], «Киста» в 4.45% (35/787 случаев ) [95% ДИ 0.03;0.06],«Листовидная опухоль» в 0.38% (3/787 случаев ) [95% ДИ 0;0.01], «Диффузный фиброаденоматоз» в 17.03% (134/787 случаев ) [95% ДИ 0.15;0.2],«Локализованный фиброаденоматоз» в 0.89% (7/787 случаев ) [95% ДИ 0;0.02].</w:t>
      </w:r>
    </w:p>
    <w:p>
      <w:pPr>
        <w:pStyle w:val="BodyText"/>
      </w:pPr>
      <w:r>
        <w:t xml:space="preserve">В группе B были поставлены диагнозы после осмотра: «Без патологии» было 27.49% (199/724 случаев ) [95% ДИ 0.24;0.31], «Рак» было 0.83% (6/724 случаев ) [95% ДИ 0;0.02],«Фиброаденома» в 24.72% (179/724 случаев ) [95% ДИ 0.22;0.28], «Фиброзно-кистозная болезнь» в 22.24% (161/724 случаев ) [95% ДИ 0.19;0.25], «Киста» в 8.56% (62/724 случаев ) [95% ДИ 0.07;0.11], «Листовидная опухоль» в 0.83% (6/724 случаев ) [95% ДИ 0;0.02], «Внутрипротоковая папиллома” в 0.83% (6/724 случаев ) [95% ДИ 0;0.02], «Гиперплазия» в 0.83% (6/724 случаев ) [95% ДИ 0;0.02], «Диффузный фиброаденоматоз» в 13.67% (99/724 случаев ) [95% ДИ 0.11;0.16] (Таблица 2.х, Рисунок 2.х).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Primary_diagnosis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Разница между группами по первичному диагнозу была выявлена (p-value &lt; 0,01).</w:t>
      </w:r>
      <w:r>
        <w:t xml:space="preserve"> </w:t>
      </w:r>
      <w:r>
        <w:t xml:space="preserve">Разница объясняется тем, что диагнозы</w:t>
      </w:r>
      <w:r>
        <w:t xml:space="preserve"> </w:t>
      </w:r>
      <w:r>
        <w:t xml:space="preserve">“</w:t>
      </w:r>
      <w:r>
        <w:t xml:space="preserve">Внутрипротоковая папиллома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Гиперплазия</w:t>
      </w:r>
      <w:r>
        <w:t xml:space="preserve">”</w:t>
      </w:r>
      <w:r>
        <w:t xml:space="preserve"> </w:t>
      </w:r>
      <w:r>
        <w:t xml:space="preserve">в группе А не было вылено, в то время как</w:t>
      </w:r>
      <w:r>
        <w:t xml:space="preserve"> </w:t>
      </w:r>
      <w:r>
        <w:t xml:space="preserve">“</w:t>
      </w:r>
      <w:r>
        <w:t xml:space="preserve">Локализованный фиброаденоматоз</w:t>
      </w:r>
      <w:r>
        <w:t xml:space="preserve">”</w:t>
      </w:r>
      <w:r>
        <w:t xml:space="preserve"> </w:t>
      </w:r>
      <w:r>
        <w:t xml:space="preserve">не был зарегистрирован в группе В.</w:t>
      </w:r>
      <w:r>
        <w:t xml:space="preserve"> </w:t>
      </w:r>
      <w:r>
        <w:t xml:space="preserve">Также в групе В вывлено больше пациенток с диагнозом</w:t>
      </w:r>
      <w:r>
        <w:t xml:space="preserve"> </w:t>
      </w:r>
      <w:r>
        <w:t xml:space="preserve">“</w:t>
      </w:r>
      <w:r>
        <w:t xml:space="preserve">Фиброаденома</w:t>
      </w:r>
      <w:r>
        <w:t xml:space="preserve">”</w:t>
      </w:r>
      <w:r>
        <w:t xml:space="preserve">, а также</w:t>
      </w:r>
      <w:r>
        <w:t xml:space="preserve"> </w:t>
      </w:r>
      <w:r>
        <w:t xml:space="preserve">“</w:t>
      </w:r>
      <w:r>
        <w:t xml:space="preserve">Киста</w:t>
      </w:r>
      <w:r>
        <w:t xml:space="preserve">”</w:t>
      </w:r>
      <w:r>
        <w:t xml:space="preserve">.</w:t>
      </w:r>
      <w:r>
        <w:t xml:space="preserve"> </w:t>
      </w:r>
      <w:r>
        <w:t xml:space="preserve">Учитывая, что наиболее значимым диагнозом являлся</w:t>
      </w:r>
      <w:r>
        <w:t xml:space="preserve"> </w:t>
      </w:r>
      <w:r>
        <w:t xml:space="preserve">“</w:t>
      </w:r>
      <w:r>
        <w:t xml:space="preserve">Рак</w:t>
      </w:r>
      <w:r>
        <w:t xml:space="preserve">”</w:t>
      </w:r>
      <w:r>
        <w:t xml:space="preserve">, то пересчет с учетом приоритетной значимости этого диагноза привел к тому, что группы распределеный однородно (p-уровень = 0.77).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Диагноз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0,01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патологии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32.147 % ( 253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[ 0.29 ; 0.36 ]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27.486 % ( 199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[ 0.24 ; 0.31 ]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0.762 % ( 6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0.829 % ( 6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Саркома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Фиброаденома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15.629 % ( 123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[ 0.13 ; 0.18 ]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24.724 % ( 179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[ 0.22 ; 0.28 ]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Фиброзно-кистозная болезнь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28.717 % ( 226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[ 0.26 ; 0.32 ]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22.238 % ( 161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[ 0.19 ; 0.25 ]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4.447 % ( 35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 ; 0.06 ]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8.564 % ( 62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[ 0.07 ; 0.11 ]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Листовидная опухоль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0.381 % ( 3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0.829 % ( 6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Внутрипротоковая папиллома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0.829 % ( 6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Гиперплазия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0.829 % ( 6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Диффузный фиброаденоматоз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17.027 % ( 134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[ 0.15 ; 0.2 ]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13.674 % ( 99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[ 0.11 ; 0.16 ]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Локализованный фиброаденоматоз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0.889 % ( 7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Мастит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Жалобы при первичном осмотре</w:t>
      </w:r>
    </w:p>
    <w:p>
      <w:pPr>
        <w:pStyle w:val="BodyText"/>
      </w:pPr>
      <w:r>
        <w:t xml:space="preserve">В группе А были выявлены следующие жалобы: выделения из соска в 0.38% (3/787 случаев ) [95% ДИ 0;0.01], боль была в 4.83% (38/787 случаев ) [95% ДИ 0.03;0.07], уплотнение было в 8.01% (63/787 случаев ) [95% ДИ 0.06;0.1], в 86.79% (683/787 случаев ) [95% ДИ 0.84;0.89] не было жалоб.</w:t>
      </w:r>
    </w:p>
    <w:p>
      <w:pPr>
        <w:pStyle w:val="BodyText"/>
      </w:pPr>
      <w:r>
        <w:t xml:space="preserve">В группе B были выявлены следующие жалобы: выделения из соска были в 0.97% (7/724 случаев ) [95% ДИ 0;0.02], боль была в 5.25% (38/724 случаев ) [95% ДИ 0.04;0.07], уплотнение было в 10.91% (79/724 случаев ) [95% ДИ 0.09;0.13], жалоб не было в 82.87% (600/724 случаев ) [95% ДИ 0.8;0.86] (Таблица 2.х, Рисунок 2.х).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complaints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Разница между группами по выявленным жалобам не было выявлено составила уровень значимости составил (p-уровень = 0.21).</w:t>
      </w:r>
      <w:r>
        <w:t xml:space="preserve"> </w:t>
      </w:r>
      <w:r>
        <w:t xml:space="preserve">По составу жалоб группы распределены равномерно, можно отметить не значимую разницу в общем количестве пациенток с отсутвием жалоб.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Жалобы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86.785 % ( 683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[ 0.84 ; 0.89 ]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82.873 % ( 600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[ 0.8 ; 0.86 ]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 опухоль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выделения из соска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0.381 % ( 3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0.967 % ( 7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4.828 % ( 38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 ; 0.07 ]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5.249 % ( 38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[ 0.04 ; 0.07 ]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уплотнение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8.005 % ( 63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[ 0.06 ; 0.1 ]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10.912 % ( 79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[ 0.09 ; 0.13 ]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гиперемия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гипертермия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Репродуктивный статус</w:t>
      </w:r>
    </w:p>
    <w:p>
      <w:pPr>
        <w:pStyle w:val="BodyText"/>
      </w:pPr>
      <w:r>
        <w:t xml:space="preserve">В группе А репродуктивный возраст был в 96.7% (761/787 случаев ) [95% ДИ 0.95;0.98], пременопауза было 3.3% (26/787 случаев ) [95% ДИ 0.02;0.05].</w:t>
      </w:r>
    </w:p>
    <w:p>
      <w:pPr>
        <w:pStyle w:val="BodyText"/>
      </w:pPr>
      <w:r>
        <w:t xml:space="preserve">В группе B репродуктивный статус был репродуктивный возраст был в 97.24% (704/724 случаев ) [95% ДИ 0.96;0.98], пременопауза в 2.76% (20/724 случаев ) [95% ДИ 0.02;0.04] (Таблица 2.х, Рисунок 2.х)..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s/satus_reproductive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Разница между группами по репродуктивному статусу составила p-уровень= 0.55 .</w:t>
      </w:r>
      <w:r>
        <w:t xml:space="preserve"> </w:t>
      </w:r>
      <w:r>
        <w:t xml:space="preserve">Группы распределены однородно.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Репродуктивный 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репродуктивный возраст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96.696 % ( 761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[ 0.95 ; 0.98 ]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97.238 % ( 704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[ 0.96 ; 0.98 ]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менопауза до 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менопауза более 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пременопауза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3.304 % ( 26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2.762 % ( 20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0.04 ]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оперативная менопауза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Операции на молочной железе</w:t>
      </w:r>
    </w:p>
    <w:p>
      <w:pPr>
        <w:pStyle w:val="BodyText"/>
      </w:pPr>
      <w:r>
        <w:t xml:space="preserve">В группе А операций на молочной железе в анамнезе не было в 98.48% (775/787 случаев ) [95% ДИ 0.97;0.99], и было 1.52% (12/787 случаев ) [95% ДИ 0.01;0.03].</w:t>
      </w:r>
    </w:p>
    <w:p>
      <w:pPr>
        <w:pStyle w:val="BodyText"/>
      </w:pPr>
      <w:r>
        <w:t xml:space="preserve">В группе B операций на молочной железе в анамнезе не было в 98.34% (712/724 случаев ) [95% ДИ 0.97;0.99], в 1.66% операции были (12/724 случаев ) [95% ДИ 0.01;0.03] (Таблица 2.х, Рисунок 2.х).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s/breast_surgery_before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Разница между группами по репродуктивному статусу составила p-уровень= 0.41 .</w:t>
      </w:r>
      <w:r>
        <w:t xml:space="preserve"> </w:t>
      </w:r>
      <w:r>
        <w:t xml:space="preserve">Группы распределены однородно.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Операции на МЖ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было операций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98.475 % ( 775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[ 0.97 ; 0.99 ]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98.343 % ( 712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[ 0.97 ; 0.99 ]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были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1.525 % ( 12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1.657 % ( 12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0.03 ]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Прием гормональных препаратов</w:t>
      </w:r>
    </w:p>
    <w:p>
      <w:pPr>
        <w:pStyle w:val="BodyText"/>
      </w:pPr>
      <w:r>
        <w:t xml:space="preserve">В группе А прием гормональных препаратов был в 20.34% (155/787 случаев ) [95% ДИ 0.17;0.23] и в не было в 79.66% (607/787 случаев ) [95% ДИ 0.74;0.8].</w:t>
      </w:r>
    </w:p>
    <w:p>
      <w:pPr>
        <w:pStyle w:val="BodyText"/>
      </w:pPr>
      <w:r>
        <w:t xml:space="preserve">В группе B прием гормональных препаратов был в 21.8% (155/724 случаев ) [95% ДИ 0.19;0.25] и приема препаратов не было в 78.2% (556/724 случаев ) [95% ДИ 0.74;0.8] (Таблица 2.х, Рисунок 2.х).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hormonal_medications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Разница между группами по приему гормональных препаратов составила p-уровень= 0.17 . Группы распределены однородно.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Гормональные препараты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19.695 % ( 155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[ 0.17 ; 0.23 ]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21.409 % ( 155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[ 0.19 ; 0.25 ]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80.305 % ( 632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[ 0.77 ; 0.83 ]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78.591 % ( 569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[ 0.75 ; 0.81 ]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Генетическая предрасположенность</w:t>
      </w:r>
    </w:p>
    <w:p>
      <w:pPr>
        <w:pStyle w:val="BodyText"/>
      </w:pPr>
      <w:r>
        <w:t xml:space="preserve">В группе А генетической предрасположенности не было в 68.52% (531/787 случаев ) [95% ДИ 0.64;0.71], было в 31.48% (244/787 случаев ) [95% ДИ 0.28;0.34].</w:t>
      </w:r>
    </w:p>
    <w:p>
      <w:pPr>
        <w:pStyle w:val="BodyText"/>
      </w:pPr>
      <w:r>
        <w:t xml:space="preserve">В группе B генетическая предрасположенности не было в 68.62% (492/724 случаев ) [95% ДИ 0.64;0.71], в 31.38% была (225/724 случаев ) [95% ДИ 0.28;0.35] (Таблица 2.х, Рисунок 2.х).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s/genetics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Разница между группами по генетической предрасположенности составила p-уровень= 0.73 . Группы распределены однородно.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Генетическая предрасположенность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68.996 % ( 543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[ 0.66 ; 0.72 ]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68.923 % ( 499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[ 0.65 ; 0.72 ]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31.004 % ( 244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[ 0.28 ; 0.34 ]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31.077 % ( 225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[ 0.28 ; 0.35 ]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Мутация BRCA</w:t>
      </w:r>
    </w:p>
    <w:p>
      <w:pPr>
        <w:pStyle w:val="BodyText"/>
      </w:pPr>
      <w:r>
        <w:t xml:space="preserve">В группе А мутация BRCA1 была выявлена в 0.76% (6/787 случаев ) [95% ДИ 0;0.02], в остальных случаях исследование не проводилось.</w:t>
      </w:r>
    </w:p>
    <w:p>
      <w:pPr>
        <w:pStyle w:val="BodyText"/>
      </w:pPr>
      <w:r>
        <w:t xml:space="preserve">В группе B мутаций BRCA не выявлено было в 2.49% (18/724 случаев ) [95% ДИ 0.02;0.04], в остальных случаях исследование не проводилось.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s/mutation_brca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Разница между группами по мутации BRCA составила p-уровень &lt; 0.01. Группы по этому показателю распределены не однородно, так как в группе Б мутаций не выявлено вовсе, в то время как BRCA1 были выявлены в группе 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Мутация BRCA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Оценка не проводилась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99.238 % ( 781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[ 0.98 ; 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97.514 % ( 706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[ 0.96 ; 0.98 ]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BRCA1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0.762 % ( 6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мутаций не выявлено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2.486 % ( 18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0.04 ]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BRCA2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образование не визуал на ММГ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ложноположительный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Сторона поражения при осмотре</w:t>
      </w:r>
    </w:p>
    <w:p>
      <w:pPr>
        <w:pStyle w:val="BodyText"/>
      </w:pPr>
      <w:r>
        <w:t xml:space="preserve">В группе А сторона поражения при осмотре была правая в 7.12% (56/787 случаев ) [95% ДИ 0.05;0.09], левая в 7.24% (57/787 случаев ) [95% ДИ 0.06;0.09], обе стороны было 2.29% (18/787 случаев ) [95% ДИ 0.01;0.04], в остальных случаях образование не пальпировалась.</w:t>
      </w:r>
    </w:p>
    <w:p>
      <w:pPr>
        <w:pStyle w:val="BodyText"/>
      </w:pPr>
      <w:r>
        <w:t xml:space="preserve">В группе B сторона поражения при осмотре была правая в 15.75% (114/724 случаев ) [95% ДИ 0.13;0.19], поражение левой было в 5.8% (42/724 случаев ) [95% ДИ 0.04;0.08], поражение обеих сторон обе было в 5.8% (42/724 случаев ) [95% ДИ 0.04;0.08], в остальных случаях образование не пальпировалось.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s/side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Разница между группами по стороне поражения составила p-уровень &lt; 0.01. Группы по этому показателю распределены неоднородно, так как в группе Б чаще встречалось непальпируемо образование, в то время как в группе A больше поражений в правой стороне.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Сторона поражения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7.116 % ( 56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[ 0.05 ; 0.09 ]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15.746 % ( 114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[ 0.13 ; 0.19 ]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7.243 % ( 57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[ 0.06 ; 0.09 ]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5.801 % ( 42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[ 0.04 ; 0.08 ]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2.287 % ( 18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0.04 ]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5.801 % ( 42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[ 0.04 ; 0.08 ]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пальпируются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83.355 % ( 656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[ 0.81 ; 0.86 ]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72.652 % ( 526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[ 0.69 ; 0.76 ]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Кожные симптомы</w:t>
      </w:r>
    </w:p>
    <w:p>
      <w:pPr>
        <w:pStyle w:val="BodyText"/>
      </w:pPr>
      <w:r>
        <w:t xml:space="preserve">В группе А и группе B во всех случаях кожных симптомов при осмотре не было выявлено.</w:t>
      </w:r>
    </w:p>
    <w:p>
      <w:pPr>
        <w:pStyle w:val="BodyText"/>
      </w:pPr>
      <w:r>
        <w:rPr>
          <w:iCs/>
          <w:i/>
        </w:rPr>
        <w:t xml:space="preserve">Симптом втягивания</w:t>
      </w:r>
    </w:p>
    <w:p>
      <w:pPr>
        <w:pStyle w:val="BodyText"/>
      </w:pPr>
      <w:r>
        <w:t xml:space="preserve">В группе А симптом втягивания соска во всех случаях был отрицательный.В группе B симптома втягивания соска при осмотре нет было в 97.51% (706/724 случаев ) [95% ДИ 0.96;0.98] и было в 2.49% (18/724 случаев ) [95% ДИ 0.02;0.04].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nipple_retraction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Разница между группами по симптому втягивания соска составила p-уровень &lt; 0.01. Группы по этому показателю распределены неоднородно, так как в группе Б регистрировались такие случаи, а в группе A нет.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Втягивание соска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( 787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[ 0.99 ; 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97.514 % ( 706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[ 0.96 ; 0.98 ]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2.486 % ( 18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0.04 ]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Выделения из соска при осмотре</w:t>
      </w:r>
    </w:p>
    <w:p>
      <w:pPr>
        <w:pStyle w:val="BodyText"/>
      </w:pPr>
      <w:r>
        <w:t xml:space="preserve">В группе А выделений из соска при осмотре не было в 99.11% (780/787 случаев ) [95% ДИ 0.98;1], кровянистые выделения были в 0.89% (7/787 случаев ) [95% ДИ 0;0.02].</w:t>
      </w:r>
    </w:p>
    <w:p>
      <w:pPr>
        <w:pStyle w:val="BodyText"/>
      </w:pPr>
      <w:r>
        <w:t xml:space="preserve">В группе B выделения из соска при осмотре нет было во всех случаях.</w:t>
      </w:r>
      <w:r>
        <w:t xml:space="preserve"> </w:t>
      </w:r>
      <w:r>
        <w:t xml:space="preserve">Разница между группами по симптому втягивания соска составила p-уровень 0.02. Группы по этому показателю распределены неоднородно, так как в группе А регистрировались такие случаи, а в группе Б нет.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Выделения из соска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Выделения из соска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99.111 % ( 780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[ 0.98 ; 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( 724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[ 0.99 ; 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кровянистые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0.889 % ( 7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кровянистые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Тип плотности</w:t>
      </w:r>
    </w:p>
    <w:p>
      <w:pPr>
        <w:pStyle w:val="BodyText"/>
      </w:pPr>
      <w:r>
        <w:t xml:space="preserve">В группе А тип плотности по ACR при осмотре был «С» в 72.27% (555/787 случаев ) [95% ДИ 0.67;0.74], тип «D» в 27.73% (213/787 случаев ) [95% ДИ 0.24;0.3].</w:t>
      </w:r>
    </w:p>
    <w:p>
      <w:pPr>
        <w:pStyle w:val="BodyText"/>
      </w:pPr>
      <w:r>
        <w:t xml:space="preserve">В группе B тип плотности по ACR при осмотре был «C» 67.82% (491/724 случаев ) [95% ДИ 0.64;0.71], тип «D» был в 32.18% (233/724 случаев ) [95% ДИ 0.29;0.36].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type_structure_acr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Разница между группами по структруре ACR составила p-уровень 0.03. Группы по этому показателю распределены неоднородно, так как в группе А регистрировалось больше случаев по классификации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 а в группе Б больше случаев по классификации</w:t>
      </w:r>
      <w:r>
        <w:t xml:space="preserve"> </w:t>
      </w:r>
      <w:r>
        <w:t xml:space="preserve">“</w:t>
      </w:r>
      <w:r>
        <w:t xml:space="preserve">D</w:t>
      </w:r>
      <w:r>
        <w:t xml:space="preserve">”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Структрура ACR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72.935 % ( 574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 ; 0.76 ]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67.818 % ( 491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[ 0.64 ; 0.71 ]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27.065 % ( 213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[ 0.24 ; 0.3 ]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32.182 % ( 233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[ 0.29 ; 0.36 ]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Квадрант локализации</w:t>
      </w:r>
    </w:p>
    <w:p>
      <w:pPr>
        <w:pStyle w:val="BodyText"/>
      </w:pPr>
      <w:r>
        <w:t xml:space="preserve">В группе А квадрант локализации верхне-наружный был в 4.07% (32/787 случаев ) [95% ДИ 0.03;0.06], верхне-внутренний в 3.81% (30/787 случаев ) [95% ДИ 0.03;0.05], нижне-наружный в 0.76% (6/787 случаев ) [95% ДИ 0;0.02], нижне-внутренний в 1.52% (12/787 случаев ) [95% ДИ 0.01;0.03], граница внутреннего в 1.65% (13/787 случаев ) [95% ДИ 0.01;0.03], граница наружного в 0.76% (6/787 случаев ) [95% ДИ 0;0.02], граница верхнего в 4.07% (32/787 случаев ) [95% ДИ 0.03;0.06].</w:t>
      </w:r>
    </w:p>
    <w:p>
      <w:pPr>
        <w:pStyle w:val="BodyText"/>
      </w:pPr>
      <w:r>
        <w:t xml:space="preserve">В группе B квадрант локализации верхне-наружный было 12.29% (89/724 случаев ) [95% ДИ 0.1;0.15], верхне-внутренний в 4.14% (30/724 случаев ) [95% ДИ 0.03;0.06], нижне-наружный в 4.14% (30/724 случаев ) [95% ДИ 0.03;0.06], нижне-внутренний в 0.83% (6/724 случаев ) [95% ДИ 0;0.02], граница внутреннего в 1.8% (13/724 случаев ) [95% ДИ 0.01;0.03], граница наружного в 1.66% (12/724 случаев ) [95% ДИ 0.01;0.03], граница верхнего в 1.66% (12/724 случаев ) [95% ДИ 0.01;0.03], граница нижних в 1.8% (13/724 случаев ) [95% ДИ 0.01;0.03], вся железа в 0.83% (6/724 случаев ) [95% ДИ 0;0.02].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s/quadrant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Разница между группами по локализации квадранта составила p-уровень &lt; 0.01. Группы по этому показателю распределены неоднородно.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Квадрант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83.355 % ( 656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[ 0.81 ; 0.86 ]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70.856 % ( 513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[ 0.67 ; 0.74 ]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верхне-наружный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4.066 % ( 32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 ; 0.06 ]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12.293 % ( 89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 ; 0.15 ]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верхне-внутренний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3.812 % ( 30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 ; 0.05 ]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4.144 % ( 30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 ; 0.06 ]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нижне-наружный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0.762 % ( 6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4.144 % ( 30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 ; 0.06 ]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нижне-внутренний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1.525 % ( 12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0.829 % ( 6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 внутреннего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1.652 % ( 13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1.796 % ( 13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0.03 ]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 наружного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0.762 % ( 6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1.657 % ( 12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0.03 ]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 верхнего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4.066 % ( 32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 ; 0.06 ]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1.657 % ( 12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0.03 ]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 нижних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1.796 % ( 13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0.03 ]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вся железа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0.829 % ( 6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1/2 железы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центральный квадрант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62"/>
    <w:bookmarkStart w:id="63" w:name="X9c299f076609dd0852d6802ee3ca940310be08c"/>
    <w:p>
      <w:pPr>
        <w:pStyle w:val="Heading3"/>
      </w:pPr>
      <w:r>
        <w:t xml:space="preserve">2.5.3 Общее описание выборки пациенток 40 лет и старше</w:t>
      </w:r>
    </w:p>
    <w:p>
      <w:pPr>
        <w:pStyle w:val="FirstParagraph"/>
      </w:pPr>
      <w:r>
        <w:t xml:space="preserve">С февраля 2019 по май 2023 года было исследовано 1283 пациенток с возрастом 40 лет и старше.</w:t>
      </w:r>
    </w:p>
    <w:p>
      <w:pPr>
        <w:pStyle w:val="BodyText"/>
      </w:pPr>
      <w:r>
        <w:t xml:space="preserve">Медиана возраста пациенток выборке после 40 лет составил 49 [Q1-Q3: 45;56] лет.</w:t>
      </w:r>
      <w:r>
        <w:t xml:space="preserve"> </w:t>
      </w:r>
      <w:r>
        <w:t xml:space="preserve">Минимальный возраст составил 40 лет.</w:t>
      </w:r>
      <w:r>
        <w:t xml:space="preserve"> </w:t>
      </w:r>
      <w:r>
        <w:t xml:space="preserve">Максимальный возраст составил 79 лет.</w:t>
      </w:r>
      <w:r>
        <w:t xml:space="preserve"> </w:t>
      </w:r>
      <w:r>
        <w:t xml:space="preserve">Медиана роста пациенток выборке после 40 лет составил 166 [Q1-Q3: 164;168] см.</w:t>
      </w:r>
      <w:r>
        <w:t xml:space="preserve"> </w:t>
      </w:r>
      <w:r>
        <w:t xml:space="preserve">Медиана веса пациенток выборке после 40 лет составил 65 [Q1-Q3: 60;73.25] кг.</w:t>
      </w:r>
      <w:r>
        <w:t xml:space="preserve"> </w:t>
      </w:r>
      <w:r>
        <w:t xml:space="preserve">В выборке после 40 лет были поставлены диагнозы Без патологии было 5.61% (72/1283 случаев) [95% ДИ 0.04;0.07].</w:t>
      </w:r>
    </w:p>
    <w:p>
      <w:pPr>
        <w:pStyle w:val="BodyText"/>
      </w:pPr>
      <w:r>
        <w:t xml:space="preserve">В выборке 40 лет и старше были поставлены диагнозы при первичном осмотре: «Рак» было 3.51% (45/1283 случаев) [95% ДИ 0.03;0.05], «Фиброаденома» в 10.05% (129/1283 случаев) [95% ДИ 0.08;0.12], «Фиброзно-кистозная болезнь» - 31.57% (405/1283 случаев) [95% ДИ 0.29;0.34], «Киста» было 2.96% (38/1283 случаев) [95% ДИ 0.02;0.04], «Листовидная опухоль» было 1.71% (22/1283 случаев) [95% ДИ 0.01;0.03],</w:t>
      </w:r>
      <w:r>
        <w:t xml:space="preserve"> </w:t>
      </w:r>
      <w:r>
        <w:t xml:space="preserve">“</w:t>
      </w:r>
      <w:r>
        <w:t xml:space="preserve">Диффузный фиброаденоматоз</w:t>
      </w:r>
      <w:r>
        <w:t xml:space="preserve">”</w:t>
      </w:r>
      <w:r>
        <w:t xml:space="preserve"> </w:t>
      </w:r>
      <w:r>
        <w:t xml:space="preserve">- 41.86% (537/1283 случаев) [95% ДИ 0.39;0.45], «Локализованный фиброаденоматоз» был в 2.49% (32/1283 случаев) [95% ДИ 0.02;0.04], «Мастит» был в 0.23% (3/1283 случаев) [95% ДИ 0;0.01].</w:t>
      </w:r>
    </w:p>
    <w:p>
      <w:pPr>
        <w:pStyle w:val="BodyText"/>
      </w:pPr>
      <w:r>
        <w:t xml:space="preserve">Были выявлены следующие жалобы: выделения из соска было в 0.47% (6/1283 случаев) [95% ДИ 0;0.01], боль была в 4.13% (53/1283 случаев) [95% ДИ 0.03;0.05], уплотнение было в 14.34% (184/1283 случаев) [95% ДИ 0.12;0.16], жалоб не было в 81.06% (1040/1283 случаев) [95% ДИ 0.79;0.83].</w:t>
      </w:r>
    </w:p>
    <w:p>
      <w:pPr>
        <w:pStyle w:val="BodyText"/>
      </w:pPr>
      <w:r>
        <w:t xml:space="preserve">Репродуктивный возраст был в 22.37% (287/1283 случаев) [95% ДИ 0.2;0.25], менопауза до 5 лет была в 18.47% (237/1283 случаев) [95% ДИ 0.16;0.21], менопауза более 5 лет была в 24.94% (320/1283 случаев) [95% ДИ 0.23;0.27], пременопауза - 33.9% (435/1283 случаев) [95% ДИ 0.31;0.37], оперативная менопауза - 0.31% (4/1283 случаев) [95% ДИ 0;0.01].</w:t>
      </w:r>
    </w:p>
    <w:p>
      <w:pPr>
        <w:pStyle w:val="BodyText"/>
      </w:pPr>
      <w:r>
        <w:t xml:space="preserve">В выборке после 40 лет операций на молочной железе в анамнезе не было в 99.14% (1272/1283 случаев) [95% ДИ 0.98;1], было в 0.86% (11/1283 случаев) [95% ДИ 0;0.02].</w:t>
      </w:r>
    </w:p>
    <w:p>
      <w:pPr>
        <w:pStyle w:val="BodyText"/>
      </w:pPr>
      <w:r>
        <w:t xml:space="preserve">В выборке после 40 лет прием гормональных препаратов был в 20.83% (265/1283 случаев) [95% ДИ 0.18;0.23], не было 79.17% (1007/1283 случаев) [95% ДИ 0.76;0.81].</w:t>
      </w:r>
    </w:p>
    <w:p>
      <w:pPr>
        <w:pStyle w:val="BodyText"/>
      </w:pPr>
      <w:r>
        <w:t xml:space="preserve">В выборке после 40 лет генетической предрасположенности не было в 63.2% (802/1283 случаев) [95% ДИ 0.6;0.65], была в 36.8% (467/1283 случаев) [95% ДИ 0.34;0.39].</w:t>
      </w:r>
    </w:p>
    <w:p>
      <w:pPr>
        <w:pStyle w:val="BodyText"/>
      </w:pPr>
      <w:r>
        <w:t xml:space="preserve">При оценке мутация BRCA ее не выявлено было в 1.79% (23/1283 случаев) [95% ДИ 0.01;0.03], мутация BRCA2 была в 0.31% (4/1283 случаев) [95% ДИ 0;0.01], образование не визуализировалось на ММГ в 0.86% (11/1283 случаев) [95% ДИ 0;0.02], ложноположительный результат мутации BRCA был в 0.31% (4/1283 случаев) [95% ДИ 0;0.01].</w:t>
      </w:r>
    </w:p>
    <w:p>
      <w:pPr>
        <w:pStyle w:val="BodyText"/>
      </w:pPr>
      <w:r>
        <w:t xml:space="preserve">В выборке после 40 лет сторона поражения при осмотре была правая в 9.9% (127/1283 случаев) [95% ДИ 0.08;0.12], левая - 8.96% (115/1283 случаев) [95% ДИ 0.07;0.11], поражение обеих сторон - 4.75% (61/1283 случаев) [95% ДИ 0.04;0.06], в остальных случаях образование не пальпировалось - 76.38% (980/1283 случаев) [95% ДИ 0.74;0.79].</w:t>
      </w:r>
    </w:p>
    <w:p>
      <w:pPr>
        <w:pStyle w:val="BodyText"/>
      </w:pPr>
      <w:r>
        <w:t xml:space="preserve">Кожных симптомы при осмотре нет было в 99.06% (1271/1283 случаев) [95% ДИ 0.98;0.99], отек был в 0.23% (3/1283 случаев) [95% ДИ 0;0.01], гиперемия была в 0.7% (9/1283 случаев) [95% ДИ 0;0.01].</w:t>
      </w:r>
    </w:p>
    <w:p>
      <w:pPr>
        <w:pStyle w:val="BodyText"/>
      </w:pPr>
      <w:r>
        <w:t xml:space="preserve">Втягивание соска при осмотре нет было в 96.02% (1232/1283 случаев) [95% ДИ 0.95;0.97] и было в 3.98% (51/1283 случаев) [95% ДИ 0.03;0.05].</w:t>
      </w:r>
    </w:p>
    <w:p>
      <w:pPr>
        <w:pStyle w:val="BodyText"/>
      </w:pPr>
      <w:r>
        <w:t xml:space="preserve">Выделения из соска при осмотре не было в 98.91% (1269/1283 случаев) [95% ДИ 0.98;0.99], светлые выделения были в 0.62% (8/1283 случаев) [95% ДИ 0;0.01], кровянистые были в 0.47% (6/1283 случаев) [95% ДИ 0;0.01].</w:t>
      </w:r>
    </w:p>
    <w:p>
      <w:pPr>
        <w:pStyle w:val="BodyText"/>
      </w:pPr>
      <w:r>
        <w:t xml:space="preserve">Тип плотности по ACR при осмотре был «С» в 87.96% (1125/1283 случаев) [95% ДИ 0.86;0.89], тип «D» былл в 12.04% (154/1283 случаев) [95% ДИ 0.1;0.14].</w:t>
      </w:r>
    </w:p>
    <w:p>
      <w:pPr>
        <w:pStyle w:val="BodyText"/>
      </w:pPr>
      <w:r>
        <w:t xml:space="preserve">Квадрант локализации верхне-наружный был в 10.52% (135/1283 случаев) [95% ДИ 0.09;0.12], верхне-внутренний в 4.68% (60/1283 случаев) [95% ДИ 0.04;0.06], нижне-наружный в 1.95% (25/1283 случаев) [95% ДИ 0.01;0.03], нижне-внутренний в 1.48% (19/1283 случаев) [95% ДИ 0.01;0.02], граница наружного была в 2.18% (28/1283 случаев) [95% ДИ 0.01;0.03], граница верхнего в 1.64% (21/1283 случаев) [95% ДИ 0.01;0.03], граница нижних было 0.78% (10/1283 случаев) [95% ДИ 0;0.01], вся железа в 0.55% (7/1283 случаев) [95% ДИ 0;0.01], центральный квадрант в 0.55% (7/1283 случаев) [95% ДИ 0;0.01].</w:t>
      </w:r>
    </w:p>
    <w:bookmarkEnd w:id="63"/>
    <w:bookmarkStart w:id="103" w:name="X69b9186972aa6129ee2329d0b7cbd7fbb1267cb"/>
    <w:p>
      <w:pPr>
        <w:pStyle w:val="Heading3"/>
      </w:pPr>
      <w:r>
        <w:t xml:space="preserve">2.5.4 Оценка однородности пациенток 40 лет и старше</w:t>
      </w:r>
    </w:p>
    <w:p>
      <w:pPr>
        <w:pStyle w:val="FirstParagraph"/>
      </w:pPr>
      <w:r>
        <w:t xml:space="preserve">Пациенток в группе C в исследование вошло 628 пациентов.</w:t>
      </w:r>
      <w:r>
        <w:t xml:space="preserve"> </w:t>
      </w:r>
      <w:r>
        <w:t xml:space="preserve">Медиана возраста пациенток в группе C составила 49.5 [Q1-Q3: 45;56] лет.</w:t>
      </w:r>
      <w:r>
        <w:t xml:space="preserve"> </w:t>
      </w:r>
      <w:r>
        <w:t xml:space="preserve">Минимальный возраст составил 40 лет.</w:t>
      </w:r>
      <w:r>
        <w:t xml:space="preserve"> </w:t>
      </w:r>
      <w:r>
        <w:t xml:space="preserve">Максимальный возраст составил 79 лет.</w:t>
      </w:r>
      <w:r>
        <w:t xml:space="preserve"> </w:t>
      </w:r>
      <w:r>
        <w:t xml:space="preserve">Медиана роста составила 167 [Q1-Q3: 164;169] см.</w:t>
      </w:r>
      <w:r>
        <w:t xml:space="preserve"> </w:t>
      </w:r>
      <w:r>
        <w:t xml:space="preserve">Медиана веса составила 65 [Q1-Q3: 60;72] кг.</w:t>
      </w:r>
      <w:r>
        <w:t xml:space="preserve"> </w:t>
      </w:r>
      <w:r>
        <w:t xml:space="preserve">Пациенток в группу D вошло 655 пациентов.</w:t>
      </w:r>
      <w:r>
        <w:t xml:space="preserve"> </w:t>
      </w:r>
      <w:r>
        <w:t xml:space="preserve">Медиана возраста составила 49 [Q1-Q3: 45;56.5] лет.</w:t>
      </w:r>
      <w:r>
        <w:t xml:space="preserve"> </w:t>
      </w:r>
      <w:r>
        <w:t xml:space="preserve">Минимальный возраст составил 40 лет.</w:t>
      </w:r>
      <w:r>
        <w:t xml:space="preserve"> </w:t>
      </w:r>
      <w:r>
        <w:t xml:space="preserve">Максимальный возраст составил 72 лет.</w:t>
      </w:r>
      <w:r>
        <w:t xml:space="preserve"> </w:t>
      </w:r>
      <w:r>
        <w:t xml:space="preserve">Медиана роста составила 165 [Q1-Q3: 164;168] см.</w:t>
      </w:r>
      <w:r>
        <w:t xml:space="preserve"> </w:t>
      </w:r>
      <w:r>
        <w:t xml:space="preserve">Медиана веса составила 65 [Q1-Q3: 59;75] кг.</w:t>
      </w:r>
    </w:p>
    <w:p>
      <w:pPr>
        <w:pStyle w:val="BodyText"/>
      </w:pPr>
      <w:r>
        <w:rPr>
          <w:iCs/>
          <w:i/>
        </w:rPr>
        <w:t xml:space="preserve">Первичный диагноз</w:t>
      </w:r>
    </w:p>
    <w:p>
      <w:pPr>
        <w:pStyle w:val="BodyText"/>
      </w:pPr>
      <w:r>
        <w:t xml:space="preserve">В группе C были поставлены следующие диагнозы: «Без патологии» было 5.1% (32/628 случаев ) [95% ДИ 0.04;0.07], «Рак» было 1.59% (10/628 случаев ) [95% ДИ 0.01;0.03], «Фиброаденома» в 7.96% (50/628 случаев ) [95% ДИ 0.06;0.1], «Фиброзно-кистозная болезнь» в 34.87% (219/628 случаев ) [95% ДИ 0.31;0.39], «Киста» в 2.71% (17/628 случаев ) [95% ДИ 0.02;0.04], «Листовидная опухоль» в 1.11% (7/628 случаев ) [95% ДИ 0;0.02], «Диффузный фиброаденоматоз» в 44.43% (279/628 случаев ) [95% ДИ 0.41;0.48], «Локализованный фиброаденоматоз» в 2.23% (14/628 случаев ) [95% ДИ 0.01;0.04].</w:t>
      </w:r>
      <w:r>
        <w:t xml:space="preserve"> </w:t>
      </w:r>
      <w:r>
        <w:t xml:space="preserve">В группе D были поставлены диагнозы: Без патологии было 6.11% (40/655 случаев ) [95% ДИ 0.04;0.08], «Рак» было 5.34% (35/655 случаев ) [95% ДИ 0.04;0.07], «Фиброаденома” в 12.06% (79/655 случаев ) [95% ДИ 0.1;0.15], «Фиброзно-кистозная болезнь» в 28.4% (186/655 случаев ) [95% ДИ 0.25;0.32], «Киста» в 3.21% (21/655 случаев ) [95% ДИ 0.02;0.05], «Листовидная опухоль» в 2.29% (15/655 случаев ) [95% ДИ 0.01;0.04], «Диффузный фиброаденоматоз» в 39.39% (258/655 случаев ) [95% ДИ 0.36;0.43], «Локализованный фиброаденоматоз» в 2.75% (18/655 случаев ) [95% ДИ 0.02;0.04],«Мастит» в 0.46% (3/655 случаев ) [95% ДИ 0;0.01].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s/diagnosis_primary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Разница между группами по первичному диагнозу составила p-уровень &lt; 0.01. Группы по этому показателю распределены неоднородно.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Диагноз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патологии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5.096 % ( 32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[ 0.04 ; 0.07 ]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6.107 % ( 40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[ 0.04 ; 0.08 ]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1.592 % ( 10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5.344 % ( 35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[ 0.04 ; 0.07 ]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Саркома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Фиброаденома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7.962 % ( 50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[ 0.06 ; 0.1 ]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12.061 % ( 79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 ; 0.15 ]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Фиброзно-кистозная болезнь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34.873 % ( 219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[ 0.31 ; 0.39 ]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28.397 % ( 186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[ 0.25 ; 0.32 ]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2.707 % ( 17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0.04 ]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3.206 % ( 21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0.05 ]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Листовидная опухоль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1.115 % ( 7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2.29 % ( 15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0.04 ]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Внутрипротоковая папиллома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Гиперплазия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Диффузный фиброаденоматоз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44.427 % ( 279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[ 0.41 ; 0.48 ]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39.389 % ( 258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[ 0.36 ; 0.43 ]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Локализованный фиброаденоматоз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2.229 % ( 14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0.04 ]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2.748 % ( 18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0.04 ]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Мастит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0.458 % ( 3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Жалобы при осмотре</w:t>
      </w:r>
    </w:p>
    <w:p>
      <w:pPr>
        <w:pStyle w:val="BodyText"/>
      </w:pPr>
      <w:r>
        <w:t xml:space="preserve">В группе C были выявлены следующие жалобы нет было 88.38% (555/628 случаев ) [95% ДИ 0.86;0.91], выделения из соска были в 0.96% (6/628 случаев ) [95% ДИ 0;0.02], боль была в 4.94% (31/628 случаев ) [95% ДИ 0.03;0.07] и уплотнение было в 5.73% (36/628 случаев ) [95% ДИ 0.04;0.08].</w:t>
      </w:r>
      <w:r>
        <w:t xml:space="preserve"> </w:t>
      </w:r>
      <w:r>
        <w:t xml:space="preserve">В группе D при осмотре жалоб не было в 74.05% (485/655 случаев ) [95% ДИ 0.7;0.77], жалобы на боль была в 3.36% (22/655 случаев ) [95% ДИ 0.02;0.05], на уплотнение в 22.6% (148/655 случаев ) [95% ДИ 0.19;0.26].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s/complaints-01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Разница между группами по жалобам составила p-уровень &lt; 0.01. Группы по этому показателю распределены неоднородно.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Жалобы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88.376 % ( 555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[ 0.86 ; 0.91 ]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74.046 % ( 485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 ; 0.77 ]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 опухоль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выделения из соска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0.955 % ( 6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4.936 % ( 31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 ; 0.07 ]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3.359 % ( 22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0.05 ]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уплотнение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5.732 % ( 36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[ 0.04 ; 0.08 ]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22.595 % ( 148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[ 0.19 ; 0.26 ]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гиперемия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гипертермия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Репродуктивный статус</w:t>
      </w:r>
    </w:p>
    <w:p>
      <w:pPr>
        <w:pStyle w:val="BodyText"/>
      </w:pPr>
      <w:r>
        <w:t xml:space="preserve">В группе C репродуктивный возраст был в 21.5% (135/628 случаев ) [95% ДИ 0.18;0.25], менопауза до 5 лет в 21.97% (138/628 случаев ) [95% ДИ 0.19;0.25], менопауза более 5 лет в 23.89% (150/628 случаев ) [95% ДИ 0.21;0.27], пременопауза в 32.01% (201/628 случаев ) [95% ДИ 0.28;0.36], оперативная менопауза в 0.64% (4/628 случаев ) [95% ДИ 0;0.02].</w:t>
      </w:r>
      <w:r>
        <w:t xml:space="preserve"> </w:t>
      </w:r>
      <w:r>
        <w:t xml:space="preserve">В группе D репродуктивный возраст был в 23.21% (152/655 случаев ) [95% ДИ 0.2;0.27], менопауза до 5 лет в 15.11% (99/655 случаев ) [95% ДИ 0.13;0.18], менопауза более 5 лет в 25.95% (170/655 случаев ) [95% ДИ 0.23;0.3], пременопауза в 35.73% (234/655 случаев ) [95% ДИ 0.32;0.4].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s/satus_reproductive-01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Разница между группами по репродуктивному возрасту составила p-уровень &lt; 0.01. Группы по этому показателю распределены неоднородно.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Репродуктивный 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репродуктивный возраст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21.497 % ( 135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[ 0.18 ; 0.25 ]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23.206 % ( 152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 ; 0.27 ]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менопауза до 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21.975 % ( 138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[ 0.19 ; 0.25 ]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15.115 % ( 99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[ 0.13 ; 0.18 ]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менопауза более 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23.885 % ( 150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[ 0.21 ; 0.27 ]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25.954 % ( 170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[ 0.23 ; 0.3 ]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пременопауза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32.006 % ( 201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[ 0.28 ; 0.36 ]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35.725 % ( 234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[ 0.32 ; 0.4 ]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оперативная менопауза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0.637 % ( 4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Операции на молочной железе</w:t>
      </w:r>
    </w:p>
    <w:p>
      <w:pPr>
        <w:pStyle w:val="BodyText"/>
      </w:pPr>
      <w:r>
        <w:t xml:space="preserve">В группе C операций на молочной железе в анамнезе не было в 98.25% (617/628 случаев ) [95% ДИ 0.97;0.99] и в 1.75% было (11/628 случаев ) [95% ДИ 0.01;0.03].</w:t>
      </w:r>
      <w:r>
        <w:t xml:space="preserve"> </w:t>
      </w:r>
      <w:r>
        <w:t xml:space="preserve">В группе D операций на молочной железе в анамнезе не было операций было во всех случаях.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s/breast_surgery_before-02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Разница между группами по операции на молочной железе в анамнезе составила p-уровень &lt; 0.01. Группы по этому показателю распределены неоднородно.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Операции на МЖ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было операций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98.248 % ( 617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[ 0.97 ; 0.99 ]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( 655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[ 0.99 ; 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были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1.752 % ( 11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Гормональные препараты</w:t>
      </w:r>
    </w:p>
    <w:p>
      <w:pPr>
        <w:pStyle w:val="BodyText"/>
      </w:pPr>
      <w:r>
        <w:t xml:space="preserve">В группе C прием гормональных препаратов был в 22.76% (142/628 случаев ) [95% ДИ 0.19;0.26], в 77.24% не было (482/628 случаев ) [95% ДИ 0.73;0.8].</w:t>
      </w:r>
      <w:r>
        <w:t xml:space="preserve"> </w:t>
      </w:r>
      <w:r>
        <w:t xml:space="preserve">В группе D прием гормональных препаратов был в 18.98% (123/655 случаев ) [95% ДИ 0.16;0.22], и не было в 81.02% (525/655 случаев ) [95% ДИ 0.77;0.83].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images/hormonal_medications-01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Разница между группами по операции на молочной железе в анамнезе составила p-уровень &lt; 0.01. Группы по этому показателю распределены неоднородно.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Гормональные препараты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22.611 % ( 142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[ 0.19 ; 0.26 ]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18.779 % ( 123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[ 0.16 ; 0.22 ]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77.389 % ( 486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[ 0.74 ; 0.81 ]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81.221 % ( 532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[ 0.78 ; 0.84 ]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Генетическая предрасположенность</w:t>
      </w:r>
    </w:p>
    <w:p>
      <w:pPr>
        <w:pStyle w:val="BodyText"/>
      </w:pPr>
      <w:r>
        <w:t xml:space="preserve">В группе C генетическая предрасположенности не было в 59.71% (369/628 случаев ) [95% ДИ 0.55;0.63], в 40.29% было (249/628 случаев ) [95% ДИ 0.36;0.44].</w:t>
      </w:r>
      <w:r>
        <w:t xml:space="preserve"> </w:t>
      </w:r>
      <w:r>
        <w:t xml:space="preserve">В группе D генетической предрасположенности не было в 66.51% (433/655 случаев ) [95% ДИ 0.62;0.7] и в 33.49% было (218/655 случаев ) [95% ДИ 0.3;0.37].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s/genetics-02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Разница между группами по генетической предрасположенности в анамнезе составила p-уровень &lt; 0.01. Группы по этому показателю распределены неоднородно.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Генетическая предрасположенность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60.35 % ( 379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[ 0.56 ; 0.64 ]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66.718 % ( 437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[ 0.63 ; 0.7 ]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39.65 % ( 249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[ 0.36 ; 0.44 ]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33.282 % ( 218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[ 0.3 ; 0.37 ]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Мутации BRCA</w:t>
      </w:r>
    </w:p>
    <w:p>
      <w:pPr>
        <w:pStyle w:val="BodyText"/>
      </w:pPr>
      <w:r>
        <w:t xml:space="preserve">В группе C было при исследовании мутации BRCA ее не выявлено было 1.27% (8/628 случаев ) [95% ДИ 0.01;0.03], в остальных случаях исследование не проводилось.</w:t>
      </w:r>
      <w:r>
        <w:t xml:space="preserve"> </w:t>
      </w:r>
      <w:r>
        <w:t xml:space="preserve">В группе D при исследовании мутации BRCA не было выявлено 2.29% (15/655 случаев ) [95% ДИ 0.01;0.04], мутация BRCA2 в 0.61% (4/655 случаев ) [95% ДИ 0;0.02], образование не визуализировалось на ММГ было 1.68% (11/655 случаев ) [95% ДИ 0.01;0.03], ложноположительный результат был в 0.61% (4/655 случаев ) [95% ДИ 0;0.02].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images/mutation_brca-01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Разница между группами по мутации BRCA в анамнезе составила p-уровень &lt; 0.01. Группы по этому показателю распределены неоднородно.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Мутация BRCA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Оценка не проводилась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98.726 % ( 620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[ 0.97 ; 0.99 ]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94.809 % ( 621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[ 0.93 ; 0.96 ]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BRCA1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мутаций не выявлено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1.274 % ( 8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2.29 % ( 15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0.04 ]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BRCA2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0.611 % ( 4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образование не визуал на ММГ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1.679 % ( 11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0.03 ]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ложноположительный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0.611 % ( 4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Сторона поражения</w:t>
      </w:r>
    </w:p>
    <w:p>
      <w:pPr>
        <w:pStyle w:val="BodyText"/>
      </w:pPr>
      <w:r>
        <w:t xml:space="preserve">В группе C сторона поражения при осмотре правая была в 6.69% (42/628 случаев ) [95% ДИ 0.05;0.09], левая было 3.66% (23/628 случаев ) [95% ДИ 0.02;0.06], поражение обеих сторон было 3.18% (20/628 случаев ) [95% ДИ 0.02;0.05], в остальных случаях образование не пальпировалось.</w:t>
      </w:r>
      <w:r>
        <w:t xml:space="preserve"> </w:t>
      </w:r>
      <w:r>
        <w:t xml:space="preserve">В группе D сторона поражения при осмотре была правая в 12.98% (85/655 случаев ) [95% ДИ 0.11;0.16], левая в 14.05% (92/655 случаев ) [95% ДИ 0.12;0.17], поражение обеих сторон было в 6.26% (41/655 случаев ) [95% ДИ 0.05;0.08], в остальных случаях образование не пальпировалось.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images/side-01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Разница между группами по стороне поражения в анамнезе составила p-уровень &lt; 0.01. Группы по этому показателю распределены неоднородно.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Сторона поражения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6.688 % ( 42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[ 0.05 ; 0.09 ]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12.977 % ( 85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[ 0.11 ; 0.16 ]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3.662 % ( 23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14.046 % ( 92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[ 0.12 ; 0.17 ]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3.185 % ( 20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6.26 % ( 41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[ 0.05 ; 0.08 ]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пальпируются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86.465 % ( 543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[ 0.83 ; 0.89 ]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66.718 % ( 437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[ 0.63 ; 0.7 ]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Кожные симптомы</w:t>
      </w:r>
    </w:p>
    <w:p>
      <w:pPr>
        <w:pStyle w:val="BodyText"/>
      </w:pPr>
      <w:r>
        <w:t xml:space="preserve">В группе C кожных симптомов при осмотре не было в 99.52% (625/628 случаев ) [95% ДИ 0.98;1], гиперемия была в 0.48% (3/628 случаев ) [95% ДИ 0;0.02].</w:t>
      </w:r>
      <w:r>
        <w:t xml:space="preserve"> </w:t>
      </w:r>
      <w:r>
        <w:t xml:space="preserve">В группе D кожных симптомов при осмотре не было в 98.63% (646/655 случаев ) [95% ДИ 0.97;0.99], отек был 0.46% (3/655 случаев ) [95% ДИ 0;0.01], гиперемия была в 0.92% (6/655 случаев ) [95% ДИ 0;0.02].</w:t>
      </w:r>
    </w:p>
    <w:p>
      <w:pPr>
        <w:pStyle w:val="BodyText"/>
      </w:pPr>
      <w:r>
        <w:drawing>
          <wp:inline>
            <wp:extent cx="5334000" cy="5390946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images/skin_symptoms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0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Разница между группами по кожным симптомам железе в анамнезе составила p-уровень 0.17. Группы по этому показателю распределены неоднородно.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Кожные симптомы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99.522 % ( 625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[ 0.98 ; 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98.626 % ( 646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[ 0.97 ; 0.99 ]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умбиликация кожи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лимонная корка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0.458 % ( 3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гиперемия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0.478 % ( 3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0.916 % ( 6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изъязвление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эрозия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Симптом втягивания соска</w:t>
      </w:r>
    </w:p>
    <w:p>
      <w:pPr>
        <w:pStyle w:val="BodyText"/>
      </w:pPr>
      <w:r>
        <w:t xml:space="preserve">В группе C симптома втягивания соска при осмотре не было в 95.54% (600/628 случаев ) [95% ДИ 0.94;0.97], и было в 4.46% (28/628 случаев ) [95% ДИ 0.03;0.06].</w:t>
      </w:r>
      <w:r>
        <w:t xml:space="preserve"> </w:t>
      </w:r>
      <w:r>
        <w:t xml:space="preserve">В группе D симптома втягивания соска при осмотре нет было в 96.49% (632/655 случаев ) [95% ДИ 0.95;0.98], симптом был в 3.51% (23/655 случаев ) [95% ДИ 0.02;0.05].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images/nipple_retraction-01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Разница между группами по симптому втягивания соска составила p-уровень 0.08. Группы по этому показателю распределены однородно.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Втягивание соска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95.541 % ( 600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[ 0.94 ; 0.97 ]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96.489 % ( 632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[ 0.95 ; 0.98 ]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4.459 % ( 28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 ; 0.06 ]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3.511 % ( 23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0.05 ]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Выделения из соска</w:t>
      </w:r>
    </w:p>
    <w:p>
      <w:pPr>
        <w:pStyle w:val="BodyText"/>
      </w:pPr>
      <w:r>
        <w:t xml:space="preserve">В группе C выделений из соска при осмотре не было в 99.52% (625/628 случаев ) [95% ДИ 0.98;1], кровянистые были в 0.48% (3/628 случаев ) [95% ДИ 0;0.02].</w:t>
      </w:r>
      <w:r>
        <w:t xml:space="preserve"> </w:t>
      </w:r>
      <w:r>
        <w:t xml:space="preserve">В группе D выделения из соска при осмотре не был в 98.32% (644/655 случаев ) [95% ДИ 0.97;0.99], светлые выделения не были 1.22% (8/655 случаев ) [95% ДИ 0.01;0.02], кровянистые были в 0.46% (3/655 случаев ) [95% ДИ 0;0.01].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images/nipple_release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Разница между группами по симптому выделения из соска составила p-уровень &lt; 0.01. Группы по этому показателю распределены неоднородно.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Выделения из соска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99.522 % ( 625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[ 0.98 ; 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98.321 % ( 644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[ 0.97 ; 0.99 ]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светлые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1.221 % ( 8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0.02 ]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кровянистые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0.478 % ( 3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0.458 % ( 3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гноевидные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Тип плотности</w:t>
      </w:r>
    </w:p>
    <w:p>
      <w:pPr>
        <w:pStyle w:val="BodyText"/>
      </w:pPr>
      <w:r>
        <w:t xml:space="preserve">В группе C тип плотности по ACR при осмотре был «C» 87.34% (545/628 случаев ) [95% ДИ 0.84;0.89], тип «D» было 12.66% (79/628 случаев ) [95% ДИ 0.1;0.15].</w:t>
      </w:r>
      <w:r>
        <w:t xml:space="preserve"> </w:t>
      </w:r>
      <w:r>
        <w:t xml:space="preserve">В группе D тип плотности по ACR при осмотре был «С» 88.55% (580/655 случаев ) [95% ДИ 0.86;0.91], тип «D» былл 11.45% (75/655 случаев ) [95% ДИ 0.09;0.14].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images/type_structure_acr-01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Разница между группами по операции на молочной железе в анамнезе составила p-уровень 0.55. Группы по этому показателю распределены однородно.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Структрура ACR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87.42 % ( 549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[ 0.85 ; 0.9 ]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88.55 % ( 580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[ 0.86 ; 0.91 ]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12.58 % ( 79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 ; 0.15 ]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11.45 % ( 75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[ 0.09 ; 0.14 ]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Квадрант локализации</w:t>
      </w:r>
    </w:p>
    <w:p>
      <w:pPr>
        <w:pStyle w:val="BodyText"/>
      </w:pPr>
      <w:r>
        <w:t xml:space="preserve">В группе C квадрант локализации верхне-наружный было 7.48% (47/628 случаев ) [95% ДИ 0.06;0.1], верхне-внутренний в 1.75% (11/628 случаев ) [95% ДИ 0.01;0.03], нижне-наружный в 1.11% (7/628 случаев ) [95% ДИ 0;0.02], нижне-внутренний в 1.91% (12/628 случаев ) [95% ДИ 0.01;0.03], граница наружного в 0.96% (6/628 случаев ) [95% ДИ 0;0.02],граница верхнего в 1.75% (11/628 случаев ) [95% ДИ 0.01;0.03], граница нижних в 0.48% (3/628 случаев ) [95% ДИ 0;0.02].</w:t>
      </w:r>
      <w:r>
        <w:t xml:space="preserve"> </w:t>
      </w:r>
      <w:r>
        <w:t xml:space="preserve">В группе D квадрант локализации верхне-наружный было в13.44% (88/655 случаев ) [95% ДИ 0.11;0.16], верхне-внутренний в 7.48% (49/655 случаев ) [95% ДИ 0.06;0.1], нижне-наружный в 2.75% (18/655 случаев ) [95% ДИ 0.02;0.04], нижне-внутренний в 1.07% (7/655 случаев ) [95% ДИ 0;0.02], граница наружного в 3.36% (22/655 случаев ) [95% ДИ 0.02;0.05], граница верхнего в 1.53% (10/655 случаев ) [95% ДИ 0.01;0.03], граница нижних в 1.07% (7/655 случаев ) [95% ДИ 0;0.02], вся железа в 1.07% (7/655 случаев ) [95% ДИ 0;0.02]., центральный квадрант было 1.07% (7/655 случаев ) [95% ДИ 0;0.02].</w:t>
      </w:r>
    </w:p>
    <w:p>
      <w:pPr>
        <w:pStyle w:val="BodyText"/>
      </w:pPr>
      <w:r>
        <w:drawing>
          <wp:inline>
            <wp:extent cx="5334000" cy="365974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images/quadrant-01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Разница между группами по операции на молочной железе в анамнезе составила p-уровень &lt; 0.01. Группы по этому показателю распределены неоднородно.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Квадрант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84.554 % ( 531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[ 0.81 ; 0.87 ]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67.176 % ( 440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[ 0.63 ; 0.71 ]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верхне-наружный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7.484 % ( 47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[ 0.06 ; 0.1 ]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13.435 % ( 88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[ 0.11 ; 0.16 ]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верхне-внутренний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1.752 % ( 11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7.481 % ( 49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[ 0.06 ; 0.1 ]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нижне-наружный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1.115 % ( 7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2.748 % ( 18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0.04 ]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нижне-внутренний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1.911 % ( 12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1.069 % ( 7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 внутреннего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 наружного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0.955 % ( 6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3.359 % ( 22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0.05 ]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 верхнего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1.752 % ( 11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1.527 % ( 10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0.03 ]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 нижних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0.478 % ( 3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1.069 % ( 7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вся железа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1.069 % ( 7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1/2 железы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центральный квадрант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1.069 % ( 7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3"/>
    <w:bookmarkEnd w:id="104"/>
    <w:bookmarkStart w:id="105" w:name="статистический-анализ-данных"/>
    <w:p>
      <w:pPr>
        <w:pStyle w:val="Heading2"/>
      </w:pPr>
      <w:r>
        <w:t xml:space="preserve">2.6 Статистический анализ данных</w:t>
      </w:r>
    </w:p>
    <w:p>
      <w:pPr>
        <w:pStyle w:val="FirstParagraph"/>
      </w:pPr>
      <w:r>
        <w:t xml:space="preserve">Статистическая обработка проводилась с помощью языка R версии 4.3.0 (2023-04-21).</w:t>
      </w:r>
      <w:r>
        <w:t xml:space="preserve"> </w:t>
      </w:r>
      <w:r>
        <w:t xml:space="preserve">В качестве среды разработки использовалась програма RStudio версия 2023.06.0+421 (2023.06.0+421).</w:t>
      </w:r>
      <w:r>
        <w:t xml:space="preserve"> </w:t>
      </w:r>
      <w:r>
        <w:t xml:space="preserve">Для определения числа наблюдений при каждом типе воздействия в каждой группе производился расчет мощности пропорций при уровне значимости 95% и мощностью 0.8 с предварительным расчетом велечены эффекта (h) по следующей формуле:</w:t>
      </w:r>
    </w:p>
    <w:p>
      <w:pPr>
        <w:pStyle w:val="BodyText"/>
      </w:pPr>
      <m:oMath>
        <m:r>
          <m:t>h</m:t>
        </m:r>
        <m:r>
          <m:rPr>
            <m:sty m:val="p"/>
          </m:rPr>
          <m:t>=</m:t>
        </m:r>
        <m:r>
          <m:t>2</m:t>
        </m:r>
        <m:r>
          <m:t>a</m:t>
        </m:r>
        <m:r>
          <m:t>r</m:t>
        </m:r>
        <m:r>
          <m:t>c</m:t>
        </m:r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t>1</m:t>
            </m:r>
          </m:e>
        </m:d>
        <m:r>
          <m:rPr>
            <m:sty m:val="p"/>
          </m:rPr>
          <m:t>−</m:t>
        </m:r>
        <m:r>
          <m:t>2</m:t>
        </m:r>
        <m:r>
          <m:t>a</m:t>
        </m:r>
        <m:r>
          <m:t>r</m:t>
        </m:r>
        <m:r>
          <m:t>c</m:t>
        </m:r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t>2</m:t>
            </m:r>
          </m:e>
        </m:d>
      </m:oMath>
    </w:p>
    <w:p>
      <w:pPr>
        <w:pStyle w:val="BodyText"/>
      </w:pPr>
      <w:r>
        <w:t xml:space="preserve">Обозначения p1 и p2 соответствуют сравниваемым пропорциям.</w:t>
      </w:r>
      <w:r>
        <w:t xml:space="preserve"> </w:t>
      </w:r>
      <w:r>
        <w:t xml:space="preserve">Функции</w:t>
      </w:r>
      <w:r>
        <w:t xml:space="preserve"> </w:t>
      </w:r>
      <w:r>
        <w:t xml:space="preserve">“</w:t>
      </w:r>
      <w:r>
        <w:t xml:space="preserve">pwr.2p.test()</w:t>
      </w:r>
      <w:r>
        <w:t xml:space="preserve">”</w:t>
      </w:r>
      <w:r>
        <w:t xml:space="preserve"> </w:t>
      </w:r>
      <w:r>
        <w:t xml:space="preserve">для расчета мощности пропорций использовались из пакета</w:t>
      </w:r>
      <w:r>
        <w:t xml:space="preserve"> </w:t>
      </w:r>
      <w:r>
        <w:t xml:space="preserve">“</w:t>
      </w:r>
      <w:r>
        <w:t xml:space="preserve">library(pwr)</w:t>
      </w:r>
      <w:r>
        <w:t xml:space="preserve">”</w:t>
      </w:r>
      <w:r>
        <w:t xml:space="preserve">.</w:t>
      </w:r>
      <w:r>
        <w:t xml:space="preserve"> </w:t>
      </w:r>
      <w:r>
        <w:t xml:space="preserve">Данные, необходимые для расчета весичины эффекта были взяты из исследования Xin Y.</w:t>
      </w:r>
      <w:r>
        <w:t xml:space="preserve"> </w:t>
      </w:r>
      <w:r>
        <w:t xml:space="preserve">и коллег (2021)</w:t>
      </w:r>
      <w:r>
        <w:t xml:space="preserve"> </w:t>
      </w:r>
      <w:r>
        <w:t xml:space="preserve">(Xin et al. 2021)</w:t>
      </w:r>
      <w:r>
        <w:t xml:space="preserve">.</w:t>
      </w:r>
      <w:r>
        <w:t xml:space="preserve"> </w:t>
      </w:r>
      <w:r>
        <w:t xml:space="preserve">Полученно значение умножалось на 1.15 (то есть +15%), чтобы учесть возможность устранения неподходящих к исследованию данных с сохранением наобходимого объема.</w:t>
      </w:r>
      <w:r>
        <w:t xml:space="preserve"> </w:t>
      </w:r>
      <w:r>
        <w:t xml:space="preserve">По результатам расчета в выборке пациенток до 40 лет для достижения эффекта нужно исследовать не менее 1430 пациенток, в настоящем исследовании было на 5.66 % больше от необходимого.</w:t>
      </w:r>
      <w:r>
        <w:t xml:space="preserve"> </w:t>
      </w:r>
      <w:r>
        <w:t xml:space="preserve">В выборке пациенток 40 лет и старше для достижения эффекта нужно исследовать не менее 1256 пациенток, в нашем исследовании было на 2.15 % больше от необходимого.</w:t>
      </w:r>
    </w:p>
    <w:p>
      <w:pPr>
        <w:pStyle w:val="BodyText"/>
      </w:pPr>
      <w:r>
        <w:t xml:space="preserve">Для описания количественных показателей проводилась оценка на нормальность распределения, в качестве метода использовался критерий Шапиро-Уилка: функция shapiro.test() из пакета stat версия 3.6.2.</w:t>
      </w:r>
      <w:r>
        <w:t xml:space="preserve"> </w:t>
      </w:r>
      <w:r>
        <w:t xml:space="preserve">Переменные, имеющие нормальное распределение, описывались как среднее ± стандартное отклонение (M±SD).</w:t>
      </w:r>
      <w:r>
        <w:t xml:space="preserve"> </w:t>
      </w:r>
      <w:r>
        <w:t xml:space="preserve">Переменные, распределение которых отличалось от нормального, описывались при помощи значений медианы (Me) и нижнего и верхнего квартилей (Q1-Q3).</w:t>
      </w:r>
      <w:r>
        <w:t xml:space="preserve"> </w:t>
      </w:r>
      <w:r>
        <w:t xml:space="preserve">Для определения статистически значимой разницы непрерывных величин использовали критерий Манна-Уитни для независимых непараметрических выборок при ненормальном распределении (функция wilcox.test() из пакета stats версия 3.6.2) и t-критерий Стюдента для независимых параметрических выборок при нормальном (функция t.test() из пакета stats версия 3.6.2).</w:t>
      </w:r>
      <w:r>
        <w:t xml:space="preserve"> </w:t>
      </w:r>
      <w:r>
        <w:t xml:space="preserve">Для определения статистически значимой разницы независимых качественных величин Хи-квадрат Пирсона (chisq.test из пакета stats версия 3.6.2), при недостаточном количестве наблюдений, то есть число наблюдений в любой из ячеек четырехпольной таблицы было менее 5 наблиюдений, использовался точный критерий Фишера (fisher.test из пакета stats версия 3.6.2).</w:t>
      </w:r>
    </w:p>
    <w:p>
      <w:pPr>
        <w:pStyle w:val="BodyText"/>
      </w:pPr>
      <w:r>
        <w:t xml:space="preserve">Для определения чувствительности, спецефичности и точности использовалась функция confusionMatrix() из библиотека caret версия 3.45.</w:t>
      </w:r>
      <w:r>
        <w:t xml:space="preserve"> </w:t>
      </w:r>
      <w:r>
        <w:t xml:space="preserve">При определении эффективности диагностических методов УЗИ, ММГ ABUS в нахождении злокачественных новообразований в качестве контрольного метода использовались данные гистологического исследования.</w:t>
      </w:r>
      <w:r>
        <w:t xml:space="preserve"> </w:t>
      </w:r>
      <w:r>
        <w:t xml:space="preserve">При определении эффективности диагностических методов УЗИ и ABUS в нахождении кальцинатов в качестве контрольного метода использовались данные ММГ исследования.</w:t>
      </w:r>
    </w:p>
    <w:p>
      <w:pPr>
        <w:pStyle w:val="BodyText"/>
      </w:pPr>
      <w:r>
        <w:t xml:space="preserve">Для постраения предсказательной модели на основании данных использовалась логистическая регрессия с помощью функций glm (), predict() из пакета stats версия 3.6.2.</w:t>
      </w:r>
      <w:r>
        <w:t xml:space="preserve"> </w:t>
      </w:r>
      <w:r>
        <w:t xml:space="preserve">Для оценки полученно предсказательной модели и построения ROC-кривой с расчетом площади под кривой (AUC - area under curve) использовался пакет pROC version 1.18.4 с функцией roc().</w:t>
      </w:r>
    </w:p>
    <w:bookmarkEnd w:id="105"/>
    <w:bookmarkStart w:id="114" w:name="список-литературы"/>
    <w:p>
      <w:pPr>
        <w:pStyle w:val="Heading2"/>
      </w:pPr>
      <w:r>
        <w:t xml:space="preserve">2.7 Список литературы</w:t>
      </w:r>
    </w:p>
    <w:bookmarkStart w:id="113" w:name="refs"/>
    <w:bookmarkStart w:id="106" w:name="ref-mandelson2000breast"/>
    <w:p>
      <w:pPr>
        <w:pStyle w:val="Bibliography"/>
      </w:pPr>
      <w:r>
        <w:t xml:space="preserve">Mandelson, Margaret T, Nina Oestreicher, Peggy L Porter, Donna White, Charles A Finder, Stephen H Taplin, and Emily White. 2000.</w:t>
      </w:r>
      <w:r>
        <w:t xml:space="preserve"> </w:t>
      </w:r>
      <w:r>
        <w:t xml:space="preserve">“Breast Density as a Predictor of Mammographic Detection: Comparison of Interval-and Screen-Detected Cancers.”</w:t>
      </w:r>
      <w:r>
        <w:t xml:space="preserve"> </w:t>
      </w:r>
      <w:r>
        <w:rPr>
          <w:iCs/>
          <w:i/>
        </w:rPr>
        <w:t xml:space="preserve">Journal of the National Cancer Institute</w:t>
      </w:r>
      <w:r>
        <w:t xml:space="preserve"> </w:t>
      </w:r>
      <w:r>
        <w:t xml:space="preserve">92 (13): 1081–87.</w:t>
      </w:r>
    </w:p>
    <w:bookmarkEnd w:id="106"/>
    <w:bookmarkStart w:id="108" w:name="ref-narayan2020"/>
    <w:p>
      <w:pPr>
        <w:pStyle w:val="Bibliography"/>
      </w:pPr>
      <w:r>
        <w:t xml:space="preserve">Narayan, Anand K., Christoph I. Lee, and Constance D. Lehman. 2020.</w:t>
      </w:r>
      <w:r>
        <w:t xml:space="preserve"> </w:t>
      </w:r>
      <w:r>
        <w:t xml:space="preserve">“Screening for Breast Cancer.”</w:t>
      </w:r>
      <w:r>
        <w:t xml:space="preserve"> </w:t>
      </w:r>
      <w:r>
        <w:rPr>
          <w:iCs/>
          <w:i/>
        </w:rPr>
        <w:t xml:space="preserve">Medical Clinics of North America</w:t>
      </w:r>
      <w:r>
        <w:t xml:space="preserve"> </w:t>
      </w:r>
      <w:r>
        <w:t xml:space="preserve">104 (6): 1007–21.</w:t>
      </w:r>
      <w:r>
        <w:t xml:space="preserve"> </w:t>
      </w:r>
      <w:hyperlink r:id="rId107">
        <w:r>
          <w:rPr>
            <w:rStyle w:val="Hyperlink"/>
          </w:rPr>
          <w:t xml:space="preserve">https://doi.org/10.1016/j.mcna.2020.08.003</w:t>
        </w:r>
      </w:hyperlink>
      <w:r>
        <w:t xml:space="preserve">.</w:t>
      </w:r>
    </w:p>
    <w:bookmarkEnd w:id="108"/>
    <w:bookmarkStart w:id="110" w:name="ref-spak2017"/>
    <w:p>
      <w:pPr>
        <w:pStyle w:val="Bibliography"/>
      </w:pPr>
      <w:r>
        <w:t xml:space="preserve">Spak, D. A., J. S. Plaxco, L. Santiago, M. J. Dryden, and B. E. Dogan. 2017.</w:t>
      </w:r>
      <w:r>
        <w:t xml:space="preserve"> </w:t>
      </w:r>
      <w:r>
        <w:t xml:space="preserve">“BI-RADS ® Fifth Edition: A Summary of Changes.”</w:t>
      </w:r>
      <w:r>
        <w:t xml:space="preserve"> </w:t>
      </w:r>
      <w:r>
        <w:rPr>
          <w:iCs/>
          <w:i/>
        </w:rPr>
        <w:t xml:space="preserve">Diagnostic and Interventional Imaging</w:t>
      </w:r>
      <w:r>
        <w:t xml:space="preserve"> </w:t>
      </w:r>
      <w:r>
        <w:t xml:space="preserve">98 (3): 179–90.</w:t>
      </w:r>
      <w:r>
        <w:t xml:space="preserve"> </w:t>
      </w:r>
      <w:hyperlink r:id="rId109">
        <w:r>
          <w:rPr>
            <w:rStyle w:val="Hyperlink"/>
          </w:rPr>
          <w:t xml:space="preserve">https://doi.org/10.1016/j.diii.2017.01.001</w:t>
        </w:r>
      </w:hyperlink>
      <w:r>
        <w:t xml:space="preserve">.</w:t>
      </w:r>
    </w:p>
    <w:bookmarkEnd w:id="110"/>
    <w:bookmarkStart w:id="112" w:name="ref-xin2021"/>
    <w:p>
      <w:pPr>
        <w:pStyle w:val="Bibliography"/>
      </w:pPr>
      <w:r>
        <w:t xml:space="preserve">Xin, Yujing, Xinyuan Zhang, Yi Yang, Yi Chen, Yanan Wang, Xiang Zhou, and Youlin Qiao. 2021.</w:t>
      </w:r>
      <w:r>
        <w:t xml:space="preserve"> </w:t>
      </w:r>
      <w:r>
        <w:t xml:space="preserve">“A Multicenter, Hospital-Based and Non-Inferiority Study for Diagnostic Efficacy of Automated Whole Breast Ultrasound for Breast Cancer in China.”</w:t>
      </w:r>
      <w:r>
        <w:t xml:space="preserve"> </w:t>
      </w:r>
      <w:r>
        <w:rPr>
          <w:iCs/>
          <w:i/>
        </w:rPr>
        <w:t xml:space="preserve">Scientific Reports</w:t>
      </w:r>
      <w:r>
        <w:t xml:space="preserve"> </w:t>
      </w:r>
      <w:r>
        <w:t xml:space="preserve">11 (1).</w:t>
      </w:r>
      <w:r>
        <w:t xml:space="preserve"> </w:t>
      </w:r>
      <w:hyperlink r:id="rId111">
        <w:r>
          <w:rPr>
            <w:rStyle w:val="Hyperlink"/>
          </w:rPr>
          <w:t xml:space="preserve">https://doi.org/10.1038/s41598-021-93350-1</w:t>
        </w:r>
      </w:hyperlink>
      <w:r>
        <w:t xml:space="preserve">.</w:t>
      </w:r>
    </w:p>
    <w:bookmarkEnd w:id="112"/>
    <w:bookmarkEnd w:id="113"/>
    <w:bookmarkEnd w:id="114"/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so" /><Relationship Type="http://schemas.openxmlformats.org/officeDocument/2006/relationships/image" Id="rId38" Target="media/rId38.so" /><Relationship Type="http://schemas.openxmlformats.org/officeDocument/2006/relationships/image" Id="rId73" Target="media/rId73.so" /><Relationship Type="http://schemas.openxmlformats.org/officeDocument/2006/relationships/image" Id="rId32" Target="media/rId32.so" /><Relationship Type="http://schemas.openxmlformats.org/officeDocument/2006/relationships/image" Id="rId67" Target="media/rId67.so" /><Relationship Type="http://schemas.openxmlformats.org/officeDocument/2006/relationships/image" Id="rId64" Target="media/rId64.so" /><Relationship Type="http://schemas.openxmlformats.org/officeDocument/2006/relationships/image" Id="rId44" Target="media/rId44.so" /><Relationship Type="http://schemas.openxmlformats.org/officeDocument/2006/relationships/image" Id="rId79" Target="media/rId79.so" /><Relationship Type="http://schemas.openxmlformats.org/officeDocument/2006/relationships/image" Id="rId41" Target="media/rId41.so" /><Relationship Type="http://schemas.openxmlformats.org/officeDocument/2006/relationships/image" Id="rId76" Target="media/rId76.so" /><Relationship Type="http://schemas.openxmlformats.org/officeDocument/2006/relationships/image" Id="rId47" Target="media/rId47.so" /><Relationship Type="http://schemas.openxmlformats.org/officeDocument/2006/relationships/image" Id="rId82" Target="media/rId82.so" /><Relationship Type="http://schemas.openxmlformats.org/officeDocument/2006/relationships/image" Id="rId94" Target="media/rId94.so" /><Relationship Type="http://schemas.openxmlformats.org/officeDocument/2006/relationships/image" Id="rId53" Target="media/rId53.so" /><Relationship Type="http://schemas.openxmlformats.org/officeDocument/2006/relationships/image" Id="rId91" Target="media/rId91.so" /><Relationship Type="http://schemas.openxmlformats.org/officeDocument/2006/relationships/image" Id="rId59" Target="media/rId59.so" /><Relationship Type="http://schemas.openxmlformats.org/officeDocument/2006/relationships/image" Id="rId100" Target="media/rId100.so" /><Relationship Type="http://schemas.openxmlformats.org/officeDocument/2006/relationships/image" Id="rId35" Target="media/rId35.so" /><Relationship Type="http://schemas.openxmlformats.org/officeDocument/2006/relationships/image" Id="rId70" Target="media/rId70.so" /><Relationship Type="http://schemas.openxmlformats.org/officeDocument/2006/relationships/image" Id="rId50" Target="media/rId50.so" /><Relationship Type="http://schemas.openxmlformats.org/officeDocument/2006/relationships/image" Id="rId85" Target="media/rId85.so" /><Relationship Type="http://schemas.openxmlformats.org/officeDocument/2006/relationships/image" Id="rId88" Target="media/rId88.so" /><Relationship Type="http://schemas.openxmlformats.org/officeDocument/2006/relationships/image" Id="rId56" Target="media/rId56.so" /><Relationship Type="http://schemas.openxmlformats.org/officeDocument/2006/relationships/image" Id="rId97" Target="media/rId97.so" /><Relationship Type="http://schemas.openxmlformats.org/officeDocument/2006/relationships/hyperlink" Id="rId109" Target="https://doi.org/10.1016/j.diii.2017.01.001" TargetMode="External" /><Relationship Type="http://schemas.openxmlformats.org/officeDocument/2006/relationships/hyperlink" Id="rId107" Target="https://doi.org/10.1016/j.mcna.2020.08.003" TargetMode="External" /><Relationship Type="http://schemas.openxmlformats.org/officeDocument/2006/relationships/hyperlink" Id="rId111" Target="https://doi.org/10.1038/s41598-021-93350-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9" Target="https://doi.org/10.1016/j.diii.2017.01.001" TargetMode="External" /><Relationship Type="http://schemas.openxmlformats.org/officeDocument/2006/relationships/hyperlink" Id="rId107" Target="https://doi.org/10.1016/j.mcna.2020.08.003" TargetMode="External" /><Relationship Type="http://schemas.openxmlformats.org/officeDocument/2006/relationships/hyperlink" Id="rId111" Target="https://doi.org/10.1038/s41598-021-93350-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Chapter2</dc:title>
  <dc:creator>AndreyPovaliy</dc:creator>
  <cp:keywords/>
  <dcterms:created xsi:type="dcterms:W3CDTF">2023-10-18T11:02:38Z</dcterms:created>
  <dcterms:modified xsi:type="dcterms:W3CDTF">2023-10-18T11:02:38Z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2023-09-29</vt:lpwstr>
  </property>
  <property fmtid="{D5CDD505-2E9C-101B-9397-08002B2CF9AE}" pid="4" name="editor_options">
    <vt:lpwstr/>
  </property>
  <property fmtid="{D5CDD505-2E9C-101B-9397-08002B2CF9AE}" pid="5" name="output">
    <vt:lpwstr>word_document</vt:lpwstr>
  </property>
</Properties>
</file>