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8.png" ContentType="image/png"/>
  <Override PartName="/word/media/rId37.png" ContentType="image/png"/>
  <Override PartName="/word/media/rId34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Calc_abus_accur</w:t>
      </w:r>
    </w:p>
    <w:p>
      <w:pPr>
        <w:pStyle w:val="Author"/>
      </w:pPr>
      <w:r>
        <w:t xml:space="preserve">AndreyPovaliy</w:t>
      </w:r>
    </w:p>
    <w:p>
      <w:pPr>
        <w:pStyle w:val="Date"/>
      </w:pPr>
      <w:r>
        <w:t xml:space="preserve">2023-11-28</w:t>
      </w:r>
    </w:p>
    <w:p>
      <w:pPr>
        <w:pStyle w:val="FirstParagraph"/>
      </w:pPr>
      <w:r>
        <w:t xml:space="preserve">УДК 616-006.04</w:t>
      </w:r>
    </w:p>
    <w:bookmarkStart w:id="85" w:name="X8b1e0e53c4325302f4bb3fdfd379638f922888e"/>
    <w:p>
      <w:pPr>
        <w:pStyle w:val="Heading1"/>
      </w:pPr>
      <w:r>
        <w:t xml:space="preserve">Определение эффективности автоматизированного трехмерного 3d сканера для обнаружения кальцинатов при скрининге рака молочной железы</w:t>
      </w:r>
    </w:p>
    <w:p>
      <w:pPr>
        <w:pStyle w:val="FirstParagraph"/>
      </w:pPr>
      <w:r>
        <w:t xml:space="preserve">Гаранина А.Э.</w:t>
      </w:r>
      <w:r>
        <w:t xml:space="preserve"> </w:t>
      </w:r>
      <w:r>
        <w:rPr>
          <w:vertAlign w:val="superscript"/>
        </w:rPr>
        <w:t xml:space="preserve">1,2</w:t>
      </w:r>
      <w:r>
        <w:t xml:space="preserve">, Холин А.В.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Северо-Западный государственный Медицинский университет им. И. И.</w:t>
      </w:r>
      <w:r>
        <w:t xml:space="preserve"> </w:t>
      </w:r>
      <w:r>
        <w:t xml:space="preserve">Мечникова, Россия, Санкт-Петербург, 191015, Российская Федерация, г.</w:t>
      </w:r>
      <w:r>
        <w:t xml:space="preserve"> </w:t>
      </w:r>
      <w:r>
        <w:t xml:space="preserve">Санкт-Петербург, ул. Кирочная, д. 41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Клиника СМТ АО Поликлинический комплекс, Россия, 190013, г.</w:t>
      </w:r>
      <w:r>
        <w:t xml:space="preserve"> </w:t>
      </w:r>
      <w:r>
        <w:t xml:space="preserve">Санкт-Петербург, Московский пр., д. 22, литер а</w:t>
      </w:r>
    </w:p>
    <w:p>
      <w:pPr>
        <w:pStyle w:val="BodyText"/>
      </w:pPr>
      <w:r>
        <w:t xml:space="preserve">Контакты: Гаранина Анна Эдуардовна,</w:t>
      </w:r>
      <w:r>
        <w:t xml:space="preserve"> </w:t>
      </w:r>
      <w:hyperlink r:id="rId20">
        <w:r>
          <w:rPr>
            <w:rStyle w:val="Hyperlink"/>
          </w:rPr>
          <w:t xml:space="preserve">anna.garanina.90@mail.ru</w:t>
        </w:r>
      </w:hyperlink>
    </w:p>
    <w:bookmarkStart w:id="21" w:name="резюме"/>
    <w:p>
      <w:pPr>
        <w:pStyle w:val="Heading2"/>
      </w:pPr>
      <w:r>
        <w:t xml:space="preserve">Резюме</w:t>
      </w:r>
    </w:p>
    <w:bookmarkEnd w:id="21"/>
    <w:bookmarkStart w:id="22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Микрокальцификации молочной железы представляют собой отложения кальция</w:t>
      </w:r>
      <w:r>
        <w:t xml:space="preserve"> </w:t>
      </w:r>
      <w:r>
        <w:t xml:space="preserve">в ткани молочной железы и проявляются на маммограммах в виде небольших</w:t>
      </w:r>
      <w:r>
        <w:t xml:space="preserve"> </w:t>
      </w:r>
      <w:r>
        <w:t xml:space="preserve">ярких пятен</w:t>
      </w:r>
      <w:r>
        <w:t xml:space="preserve"> </w:t>
      </w:r>
      <w:r>
        <w:t xml:space="preserve">[1]</w:t>
      </w:r>
      <w:r>
        <w:t xml:space="preserve">. Микрокальцификации играют решающую роль в</w:t>
      </w:r>
      <w:r>
        <w:t xml:space="preserve"> </w:t>
      </w:r>
      <w:r>
        <w:t xml:space="preserve">скрининге рака молочной железы, особенно при непальпируемом раке</w:t>
      </w:r>
      <w:r>
        <w:t xml:space="preserve"> </w:t>
      </w:r>
      <w:r>
        <w:t xml:space="preserve">молочной железы</w:t>
      </w:r>
      <w:r>
        <w:t xml:space="preserve"> </w:t>
      </w:r>
      <w:r>
        <w:t xml:space="preserve">[2]</w:t>
      </w:r>
      <w:r>
        <w:t xml:space="preserve">, и присутствуют примерно в одной трети всех</w:t>
      </w:r>
      <w:r>
        <w:t xml:space="preserve"> </w:t>
      </w:r>
      <w:r>
        <w:t xml:space="preserve">злокачественных поражений, обнаруженных при скрининговой маммографии</w:t>
      </w:r>
      <w:r>
        <w:t xml:space="preserve"> </w:t>
      </w:r>
      <w:r>
        <w:t xml:space="preserve">[3,4]</w:t>
      </w:r>
      <w:r>
        <w:t xml:space="preserve">. Они чаще встречаются при протоковой карциноме</w:t>
      </w:r>
      <w:r>
        <w:t xml:space="preserve"> </w:t>
      </w:r>
      <w:r>
        <w:t xml:space="preserve">in situ</w:t>
      </w:r>
      <w:r>
        <w:t xml:space="preserve"> </w:t>
      </w:r>
      <w:r>
        <w:t xml:space="preserve">[3]</w:t>
      </w:r>
      <w:r>
        <w:t xml:space="preserve">, чем при инвазивном раке молочной железы</w:t>
      </w:r>
      <w:r>
        <w:t xml:space="preserve"> </w:t>
      </w:r>
      <w:r>
        <w:t xml:space="preserve">[5]</w:t>
      </w:r>
      <w:r>
        <w:t xml:space="preserve">. Золотым стандартом скринига рака молочной железы и</w:t>
      </w:r>
      <w:r>
        <w:t xml:space="preserve"> </w:t>
      </w:r>
      <w:r>
        <w:t xml:space="preserve">определения кальцинатов как прогностического фактора является</w:t>
      </w:r>
      <w:r>
        <w:t xml:space="preserve"> </w:t>
      </w:r>
      <w:r>
        <w:t xml:space="preserve">диагностическая маммография. Стандартный маммографический скрининг рака</w:t>
      </w:r>
      <w:r>
        <w:t xml:space="preserve"> </w:t>
      </w:r>
      <w:r>
        <w:t xml:space="preserve">молочной железы помог снизить смертность от рака молочной железы</w:t>
      </w:r>
      <w:r>
        <w:t xml:space="preserve"> </w:t>
      </w:r>
      <w:r>
        <w:t xml:space="preserve">[6]</w:t>
      </w:r>
      <w:r>
        <w:t xml:space="preserve">. Тем не менее, количество раковых заболеваний, не</w:t>
      </w:r>
      <w:r>
        <w:t xml:space="preserve"> </w:t>
      </w:r>
      <w:r>
        <w:t xml:space="preserve">обнаруженных во время маммографии, существенно, особенно если речь идет</w:t>
      </w:r>
      <w:r>
        <w:t xml:space="preserve"> </w:t>
      </w:r>
      <w:r>
        <w:t xml:space="preserve">о женщинах с плотной грудью, со значением чувствительности 30–48%</w:t>
      </w:r>
      <w:r>
        <w:t xml:space="preserve"> </w:t>
      </w:r>
      <w:r>
        <w:t xml:space="preserve">[7]</w:t>
      </w:r>
      <w:r>
        <w:t xml:space="preserve">. Использование цифровой маммографии вместо</w:t>
      </w:r>
      <w:r>
        <w:t xml:space="preserve"> </w:t>
      </w:r>
      <w:r>
        <w:t xml:space="preserve">аналоговой маммографии показывает увеличение уровня выявления рака на</w:t>
      </w:r>
      <w:r>
        <w:t xml:space="preserve"> </w:t>
      </w:r>
      <w:r>
        <w:t xml:space="preserve">55–70%</w:t>
      </w:r>
      <w:r>
        <w:t xml:space="preserve"> </w:t>
      </w:r>
      <w:r>
        <w:t xml:space="preserve">[8]</w:t>
      </w:r>
      <w:r>
        <w:t xml:space="preserve">. Однако большое количество случаев</w:t>
      </w:r>
      <w:r>
        <w:t xml:space="preserve"> </w:t>
      </w:r>
      <w:r>
        <w:t xml:space="preserve">рака молочной железы до сих пор остается невыявленным. В течение</w:t>
      </w:r>
      <w:r>
        <w:t xml:space="preserve"> </w:t>
      </w:r>
      <w:r>
        <w:t xml:space="preserve">длительного времени ручной портативный УЗИ (HHUS) зарекомендовал себя</w:t>
      </w:r>
      <w:r>
        <w:t xml:space="preserve"> </w:t>
      </w:r>
      <w:r>
        <w:t xml:space="preserve">как ценный и эффективный дополнительный диагностический скрининговый</w:t>
      </w:r>
      <w:r>
        <w:t xml:space="preserve"> </w:t>
      </w:r>
      <w:r>
        <w:t xml:space="preserve">инструмент, который позволяет выявлять рак у женщин с плотной грудью.</w:t>
      </w:r>
      <w:r>
        <w:t xml:space="preserve"> </w:t>
      </w:r>
      <w:r>
        <w:t xml:space="preserve">Этому методу не препятствует плотность ткани молочной железы</w:t>
      </w:r>
      <w:r>
        <w:t xml:space="preserve"> </w:t>
      </w:r>
      <w:r>
        <w:t xml:space="preserve">[9]</w:t>
      </w:r>
      <w:r>
        <w:t xml:space="preserve">. Некоторые исследования показали значительно</w:t>
      </w:r>
      <w:r>
        <w:t xml:space="preserve"> </w:t>
      </w:r>
      <w:r>
        <w:t xml:space="preserve">более высокий уровень обнаружения при автоматизированном УЗИ молочной</w:t>
      </w:r>
      <w:r>
        <w:t xml:space="preserve"> </w:t>
      </w:r>
      <w:r>
        <w:t xml:space="preserve">железы (3D ABUS) по сравнению с HHUS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В настоящем исследовании мы решили изучить вопрос возможности</w:t>
      </w:r>
      <w:r>
        <w:t xml:space="preserve"> </w:t>
      </w:r>
      <w:r>
        <w:t xml:space="preserve">обнаружения кальциатов методами УЗИ в B-режиме и автоматизированного</w:t>
      </w:r>
      <w:r>
        <w:t xml:space="preserve"> </w:t>
      </w:r>
      <w:r>
        <w:t xml:space="preserve">объемного сканирования молочных желез (ABUS).</w:t>
      </w:r>
    </w:p>
    <w:bookmarkEnd w:id="22"/>
    <w:bookmarkStart w:id="23" w:name="цель-исследования"/>
    <w:p>
      <w:pPr>
        <w:pStyle w:val="Heading2"/>
      </w:pPr>
      <w:r>
        <w:t xml:space="preserve">Цель исследования</w:t>
      </w:r>
    </w:p>
    <w:p>
      <w:pPr>
        <w:pStyle w:val="FirstParagraph"/>
      </w:pPr>
      <w:r>
        <w:t xml:space="preserve">Провести сравнительный анализ диагностической эффективности обнаружения</w:t>
      </w:r>
      <w:r>
        <w:t xml:space="preserve"> </w:t>
      </w:r>
      <w:r>
        <w:t xml:space="preserve">кальцианатов, именно УЗИ в B-режиме и автоматизированного объемного</w:t>
      </w:r>
      <w:r>
        <w:t xml:space="preserve"> </w:t>
      </w:r>
      <w:r>
        <w:t xml:space="preserve">сканирования молочных желез (ABUS) у женщин в возрастной группе 40 лет и</w:t>
      </w:r>
      <w:r>
        <w:t xml:space="preserve"> </w:t>
      </w:r>
      <w:r>
        <w:t xml:space="preserve">старше лет с неоднородной и высокой плотностью тканей молочной железы.</w:t>
      </w:r>
    </w:p>
    <w:bookmarkEnd w:id="23"/>
    <w:bookmarkStart w:id="27" w:name="материалы-и-методы"/>
    <w:p>
      <w:pPr>
        <w:pStyle w:val="Heading2"/>
      </w:pPr>
      <w:r>
        <w:t xml:space="preserve">Материалы и методы</w:t>
      </w:r>
    </w:p>
    <w:p>
      <w:pPr>
        <w:pStyle w:val="FirstParagraph"/>
      </w:pPr>
      <w:r>
        <w:t xml:space="preserve">С февраля 2019 по май 2023 года проводилось ретро-проспективное</w:t>
      </w:r>
      <w:r>
        <w:t xml:space="preserve"> </w:t>
      </w:r>
      <w:r>
        <w:t xml:space="preserve">наблюдательное исследование, в котором рассматривались диагностические</w:t>
      </w:r>
      <w:r>
        <w:t xml:space="preserve"> </w:t>
      </w:r>
      <w:r>
        <w:t xml:space="preserve">аспекты раннней диагностики рака молочной железы с реди женщин в</w:t>
      </w:r>
      <w:r>
        <w:t xml:space="preserve"> </w:t>
      </w:r>
      <w:r>
        <w:t xml:space="preserve">возрасте 40 лет и старше. Среди исследуемых диагностических методи</w:t>
      </w:r>
      <w:r>
        <w:t xml:space="preserve"> </w:t>
      </w:r>
      <w:r>
        <w:t xml:space="preserve">рассматривались УЗИ, ABUS и маммография. Протокол настоящего</w:t>
      </w:r>
      <w:r>
        <w:t xml:space="preserve"> </w:t>
      </w:r>
      <w:r>
        <w:t xml:space="preserve">исследования был одобрен на заседании локального этического комитета</w:t>
      </w:r>
      <w:r>
        <w:t xml:space="preserve"> </w:t>
      </w:r>
      <w:r>
        <w:t xml:space="preserve">СЗГМУ им.Мечникова №00 от ХХ.ХХ.ХХХХ года.</w:t>
      </w:r>
    </w:p>
    <w:p>
      <w:pPr>
        <w:pStyle w:val="BodyText"/>
      </w:pPr>
      <w:r>
        <w:rPr>
          <w:iCs/>
          <w:i/>
        </w:rPr>
        <w:t xml:space="preserve">Последовательность проведения диагностики</w:t>
      </w:r>
    </w:p>
    <w:p>
      <w:pPr>
        <w:pStyle w:val="BodyText"/>
      </w:pPr>
      <w:r>
        <w:drawing>
          <wp:inline>
            <wp:extent cx="5334000" cy="516282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g/shem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2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1. Схема сравнительного иссдедования (УЗИ -ультразвуковое</w:t>
      </w:r>
      <w:r>
        <w:t xml:space="preserve"> </w:t>
      </w:r>
      <w:r>
        <w:t xml:space="preserve">исследолвание; ABUS - Автоматизированное объемное ультразвуковое</w:t>
      </w:r>
      <w:r>
        <w:t xml:space="preserve"> </w:t>
      </w:r>
      <w:r>
        <w:t xml:space="preserve">сканирование)</w:t>
      </w:r>
    </w:p>
    <w:p>
      <w:pPr>
        <w:pStyle w:val="BodyText"/>
      </w:pPr>
      <w:r>
        <w:t xml:space="preserve">Основные этапы проведения исследования показаны на рисунке №1</w:t>
      </w:r>
    </w:p>
    <w:p>
      <w:pPr>
        <w:pStyle w:val="BodyText"/>
      </w:pPr>
      <w:r>
        <w:rPr>
          <w:iCs/>
          <w:i/>
        </w:rPr>
        <w:t xml:space="preserve">Описание выборки и групп</w:t>
      </w:r>
    </w:p>
    <w:p>
      <w:pPr>
        <w:pStyle w:val="BodyText"/>
      </w:pPr>
      <w:r>
        <w:t xml:space="preserve">В исследование вошло 655 пациентов. Медиана возраста пациенток составила</w:t>
      </w:r>
      <w:r>
        <w:t xml:space="preserve"> </w:t>
      </w:r>
      <w:r>
        <w:t xml:space="preserve">49 [Q1-Q3: 45;56.5] лет. Минимальный возраст сотсавил 40 лет.</w:t>
      </w:r>
      <w:r>
        <w:t xml:space="preserve"> </w:t>
      </w:r>
      <w:r>
        <w:t xml:space="preserve">Максимальный возраст сотсавил 72 лет. Медиана роста пациенток выборке до</w:t>
      </w:r>
      <w:r>
        <w:t xml:space="preserve"> </w:t>
      </w:r>
      <w:r>
        <w:t xml:space="preserve">40 лет составил 165 [Q1-Q3: 164;168] см. Медиана веса пациенток выборке</w:t>
      </w:r>
      <w:r>
        <w:t xml:space="preserve"> </w:t>
      </w:r>
      <w:r>
        <w:t xml:space="preserve">до 40 лет составил 65 [Q1-Q3: 59;75] кг.</w:t>
      </w:r>
    </w:p>
    <w:p>
      <w:pPr>
        <w:pStyle w:val="BodyText"/>
      </w:pPr>
      <w:r>
        <w:t xml:space="preserve">Репродуктивный возраст в был в 23.21% (152), пременопауза в 35.73%</w:t>
      </w:r>
      <w:r>
        <w:t xml:space="preserve"> </w:t>
      </w:r>
      <w:r>
        <w:t xml:space="preserve">(234), менопауза до 5 лет в 15.11% (99) и менопауза более 5 лет в 25.95%</w:t>
      </w:r>
      <w:r>
        <w:t xml:space="preserve"> </w:t>
      </w:r>
      <w:r>
        <w:t xml:space="preserve">(170). Во всех случаях не было операций в анамнезе.</w:t>
      </w:r>
    </w:p>
    <w:p>
      <w:pPr>
        <w:pStyle w:val="BodyText"/>
      </w:pPr>
      <w:r>
        <w:t xml:space="preserve">Прием гормональных препаратов был зарегистрирован в 18.78% (123), в</w:t>
      </w:r>
      <w:r>
        <w:t xml:space="preserve"> </w:t>
      </w:r>
      <w:r>
        <w:t xml:space="preserve">остальных 81.22% (532) случах его не было. Наследственная</w:t>
      </w:r>
      <w:r>
        <w:t xml:space="preserve"> </w:t>
      </w:r>
      <w:r>
        <w:t xml:space="preserve">предрасположенность была в 33.28% (218) случаях.</w:t>
      </w:r>
    </w:p>
    <w:p>
      <w:pPr>
        <w:pStyle w:val="BodyText"/>
      </w:pPr>
      <w:r>
        <w:t xml:space="preserve">Таблица № 1.</w:t>
      </w:r>
    </w:p>
    <w:p>
      <w:pPr>
        <w:pStyle w:val="BodyText"/>
      </w:pPr>
      <w:r>
        <w:t xml:space="preserve">Основные характеристики пациенток, прошедших исследование</w:t>
      </w:r>
    </w:p>
    <w:p>
      <w:pPr>
        <w:pStyle w:val="BodyText"/>
      </w:pPr>
      <w:r>
        <w:rPr>
          <w:iCs/>
          <w:i/>
        </w:rPr>
        <w:t xml:space="preserve">Описание ABUS</w:t>
      </w:r>
    </w:p>
    <w:p>
      <w:pPr>
        <w:pStyle w:val="BodyText"/>
      </w:pPr>
      <w:r>
        <w:t xml:space="preserve">В настоящем исследовании использовалось трехмерная автоматизированная</w:t>
      </w:r>
      <w:r>
        <w:t xml:space="preserve"> </w:t>
      </w:r>
      <w:r>
        <w:t xml:space="preserve">ультразвуковая система Invenia (ABUS). Производитель GE Healthcare</w:t>
      </w:r>
      <w:r>
        <w:t xml:space="preserve"> </w:t>
      </w:r>
      <w:r>
        <w:t xml:space="preserve">(Саннивейл, Калифорния, США) 2018 года выпуска. Основным назначением</w:t>
      </w:r>
      <w:r>
        <w:t xml:space="preserve"> </w:t>
      </w:r>
      <w:r>
        <w:t xml:space="preserve">компьютерной системы – это оценка плотной молочной железы. Визуализация</w:t>
      </w:r>
      <w:r>
        <w:t xml:space="preserve"> </w:t>
      </w:r>
      <w:r>
        <w:t xml:space="preserve">молочных желез проводилось в трех проекциях: боковой (LAT),</w:t>
      </w:r>
      <w:r>
        <w:t xml:space="preserve"> </w:t>
      </w:r>
      <w:r>
        <w:t xml:space="preserve">переднезадней (AP) и медиальный (MED) с автоматическим датчиком с</w:t>
      </w:r>
      <w:r>
        <w:t xml:space="preserve"> </w:t>
      </w:r>
      <w:r>
        <w:t xml:space="preserve">линейной матрицей от 6 до 14 МГц, прикрепленным к жесткой компрессионной</w:t>
      </w:r>
      <w:r>
        <w:t xml:space="preserve"> </w:t>
      </w:r>
      <w:r>
        <w:t xml:space="preserve">пластине (площадь 15,4×17,0×5,0 см). Для каждой пациентки использовалось</w:t>
      </w:r>
      <w:r>
        <w:t xml:space="preserve"> </w:t>
      </w:r>
      <w:r>
        <w:t xml:space="preserve">индивидуальная мембрана для датчика. Во время исследования система</w:t>
      </w:r>
      <w:r>
        <w:t xml:space="preserve"> </w:t>
      </w:r>
      <w:r>
        <w:t xml:space="preserve">получала до 300 2D-срезов и реконструировала их в коронарной плоскости.</w:t>
      </w:r>
      <w:r>
        <w:t xml:space="preserve"> </w:t>
      </w:r>
      <w:r>
        <w:t xml:space="preserve">Стандартизированный процесс осмотра включает использование</w:t>
      </w:r>
      <w:r>
        <w:t xml:space="preserve"> </w:t>
      </w:r>
      <w:r>
        <w:t xml:space="preserve">запатентованной коронарной плоскости для быстрой навигации по молочной</w:t>
      </w:r>
      <w:r>
        <w:t xml:space="preserve"> </w:t>
      </w:r>
      <w:r>
        <w:t xml:space="preserve">железе, а также использование «режима обзора», позволяющего врачу быстро</w:t>
      </w:r>
      <w:r>
        <w:t xml:space="preserve"> </w:t>
      </w:r>
      <w:r>
        <w:t xml:space="preserve">интерпретировать изображения. Время сбора данных для каждой проекции</w:t>
      </w:r>
      <w:r>
        <w:t xml:space="preserve"> </w:t>
      </w:r>
      <w:r>
        <w:t xml:space="preserve">составляло 60 с, примерно по 3–4 мин на каждую молочную железу.</w:t>
      </w:r>
    </w:p>
    <w:p>
      <w:pPr>
        <w:pStyle w:val="BodyText"/>
      </w:pPr>
      <w:r>
        <w:t xml:space="preserve">Обследование проводили в положении лежа. Полотенце было помещено под</w:t>
      </w:r>
      <w:r>
        <w:t xml:space="preserve"> </w:t>
      </w:r>
      <w:r>
        <w:t xml:space="preserve">плечом, что помогло расправить ткань молочной железы равномерно, соском</w:t>
      </w:r>
      <w:r>
        <w:t xml:space="preserve"> </w:t>
      </w:r>
      <w:r>
        <w:t xml:space="preserve">к потолку. На молочные железы равномерно наносили гипоаллергенный</w:t>
      </w:r>
      <w:r>
        <w:t xml:space="preserve"> </w:t>
      </w:r>
      <w:r>
        <w:t xml:space="preserve">ультразвуковой гель с дополнительным количество на область соска.</w:t>
      </w:r>
      <w:r>
        <w:t xml:space="preserve"> </w:t>
      </w:r>
      <w:r>
        <w:t xml:space="preserve">Возможно применение трех уровней компрессии датчика для исследования</w:t>
      </w:r>
      <w:r>
        <w:t xml:space="preserve"> </w:t>
      </w:r>
      <w:r>
        <w:t xml:space="preserve">молочных желез для получения наилучшей визуализации с учетом комфорта</w:t>
      </w:r>
      <w:r>
        <w:t xml:space="preserve"> </w:t>
      </w:r>
      <w:r>
        <w:t xml:space="preserve">пациента.</w:t>
      </w:r>
    </w:p>
    <w:p>
      <w:pPr>
        <w:pStyle w:val="BodyText"/>
      </w:pPr>
      <w:r>
        <w:t xml:space="preserve">Сканирование ABUS было непрерывным и автоматизированным. В течение</w:t>
      </w:r>
      <w:r>
        <w:t xml:space="preserve"> </w:t>
      </w:r>
      <w:r>
        <w:t xml:space="preserve">исследования женщин попросили не двигаться, не разговаривать и дышать</w:t>
      </w:r>
      <w:r>
        <w:t xml:space="preserve"> </w:t>
      </w:r>
      <w:r>
        <w:t xml:space="preserve">ровно. Выполнял исследование сертифицированный персонал со средним</w:t>
      </w:r>
      <w:r>
        <w:t xml:space="preserve"> </w:t>
      </w:r>
      <w:r>
        <w:t xml:space="preserve">медицинским образованием.</w:t>
      </w:r>
    </w:p>
    <w:p>
      <w:pPr>
        <w:pStyle w:val="BodyText"/>
      </w:pPr>
      <w:r>
        <w:t xml:space="preserve">После завершения сбора данных ультразвуковой системой весь массив</w:t>
      </w:r>
      <w:r>
        <w:t xml:space="preserve"> </w:t>
      </w:r>
      <w:r>
        <w:t xml:space="preserve">передавался на специальную рабочую станцию для интерпретации. Оценку</w:t>
      </w:r>
      <w:r>
        <w:t xml:space="preserve"> </w:t>
      </w:r>
      <w:r>
        <w:t xml:space="preserve">изображений ABUS выполнял один врач ультразвуковой диагностики, со</w:t>
      </w:r>
      <w:r>
        <w:t xml:space="preserve"> </w:t>
      </w:r>
      <w:r>
        <w:t xml:space="preserve">стажем работы более 7 лет. Фиксировалось общее время, необходимое для</w:t>
      </w:r>
      <w:r>
        <w:t xml:space="preserve"> </w:t>
      </w:r>
      <w:r>
        <w:t xml:space="preserve">подготовки пациента и получения ABUS.</w:t>
      </w:r>
    </w:p>
    <w:p>
      <w:pPr>
        <w:pStyle w:val="BodyText"/>
      </w:pPr>
      <w:r>
        <w:rPr>
          <w:iCs/>
          <w:i/>
        </w:rPr>
        <w:t xml:space="preserve">Описание маммографии</w:t>
      </w:r>
    </w:p>
    <w:p>
      <w:pPr>
        <w:pStyle w:val="BodyText"/>
      </w:pPr>
      <w:r>
        <w:t xml:space="preserve">Пациентки прошли двухпроекционную цифровую маммографию (в</w:t>
      </w:r>
      <w:r>
        <w:t xml:space="preserve"> </w:t>
      </w:r>
      <w:r>
        <w:t xml:space="preserve">медиалатеральной косой и краниокаудальной проекции) обеих молочных</w:t>
      </w:r>
      <w:r>
        <w:t xml:space="preserve"> </w:t>
      </w:r>
      <w:r>
        <w:t xml:space="preserve">желез. Маммографию также выполняли женщинам моложе 40 лет в случае</w:t>
      </w:r>
      <w:r>
        <w:t xml:space="preserve"> </w:t>
      </w:r>
      <w:r>
        <w:t xml:space="preserve">положительного семейного или личного анамнеза - рак молочной железы.</w:t>
      </w:r>
      <w:r>
        <w:t xml:space="preserve"> </w:t>
      </w:r>
      <w:r>
        <w:t xml:space="preserve">Используемое оборудование- Planmed Clarity 3D с функцией томосинтеза</w:t>
      </w:r>
      <w:r>
        <w:t xml:space="preserve"> </w:t>
      </w:r>
      <w:r>
        <w:t xml:space="preserve">(Финляндия). Оценку изображений проводил один рентгенолог со стажем</w:t>
      </w:r>
      <w:r>
        <w:t xml:space="preserve"> </w:t>
      </w:r>
      <w:r>
        <w:t xml:space="preserve">работы более 10 лет.</w:t>
      </w:r>
    </w:p>
    <w:p>
      <w:pPr>
        <w:pStyle w:val="BodyText"/>
      </w:pPr>
      <w:r>
        <w:rPr>
          <w:iCs/>
          <w:i/>
        </w:rPr>
        <w:t xml:space="preserve">Описание УЗИ-исседования</w:t>
      </w:r>
    </w:p>
    <w:p>
      <w:pPr>
        <w:pStyle w:val="BodyText"/>
      </w:pPr>
      <w:r>
        <w:t xml:space="preserve">УЗИ мсследование выполняли два врача ультразвуковой диагностики со</w:t>
      </w:r>
      <w:r>
        <w:t xml:space="preserve"> </w:t>
      </w:r>
      <w:r>
        <w:t xml:space="preserve">стажем работы более 7 лет. Исследование проводилось в положении лежа, с</w:t>
      </w:r>
      <w:r>
        <w:t xml:space="preserve"> </w:t>
      </w:r>
      <w:r>
        <w:t xml:space="preserve">руками за головой, с последовательным сканированием каждого квадранта</w:t>
      </w:r>
      <w:r>
        <w:t xml:space="preserve"> </w:t>
      </w:r>
      <w:r>
        <w:t xml:space="preserve">обеих молочных железе в сагитальной и аксиальной плоскостях, с</w:t>
      </w:r>
      <w:r>
        <w:t xml:space="preserve"> </w:t>
      </w:r>
      <w:r>
        <w:t xml:space="preserve">исследованием ретроареолярной области и аксиллярных областей с двух</w:t>
      </w:r>
      <w:r>
        <w:t xml:space="preserve"> </w:t>
      </w:r>
      <w:r>
        <w:t xml:space="preserve">сторон.</w:t>
      </w:r>
    </w:p>
    <w:p>
      <w:pPr>
        <w:pStyle w:val="BodyText"/>
      </w:pPr>
      <w:r>
        <w:t xml:space="preserve">Устройства, используемые для проведения HHUS включали GE LOGIQS 8 (GE</w:t>
      </w:r>
      <w:r>
        <w:t xml:space="preserve"> </w:t>
      </w:r>
      <w:r>
        <w:t xml:space="preserve">Medical Systems, Милуоки, Висконсин, США), Toshiba Aplio 300(Canon</w:t>
      </w:r>
      <w:r>
        <w:t xml:space="preserve"> </w:t>
      </w:r>
      <w:r>
        <w:t xml:space="preserve">Япония)- ультразвуковые системы экспертного класса.</w:t>
      </w:r>
    </w:p>
    <w:p>
      <w:pPr>
        <w:pStyle w:val="BodyText"/>
      </w:pPr>
      <w:r>
        <w:rPr>
          <w:iCs/>
          <w:i/>
        </w:rPr>
        <w:t xml:space="preserve">Статистический анализ</w:t>
      </w:r>
    </w:p>
    <w:p>
      <w:pPr>
        <w:pStyle w:val="BodyText"/>
      </w:pPr>
      <w:r>
        <w:t xml:space="preserve">Статистическая обработка проводилась с помощью языка программы</w:t>
      </w:r>
      <w:r>
        <w:t xml:space="preserve"> </w:t>
      </w:r>
      <w:r>
        <w:t xml:space="preserve">STATISTICS 12. Для определения числа наблюдений при каждом типе</w:t>
      </w:r>
      <w:r>
        <w:t xml:space="preserve"> </w:t>
      </w:r>
      <w:r>
        <w:t xml:space="preserve">воздействия в каждой группе производился расчет мощности пропорций при</w:t>
      </w:r>
      <w:r>
        <w:t xml:space="preserve"> </w:t>
      </w:r>
      <w:r>
        <w:t xml:space="preserve">уровне значимости 95%.</w:t>
      </w:r>
    </w:p>
    <w:p>
      <w:pPr>
        <w:pStyle w:val="BodyText"/>
      </w:pPr>
      <w:r>
        <w:t xml:space="preserve">Для описания количественных показателей проводилась оценка на</w:t>
      </w:r>
      <w:r>
        <w:t xml:space="preserve"> </w:t>
      </w:r>
      <w:r>
        <w:t xml:space="preserve">нормальность распределения, в качестве метода использовался критерий</w:t>
      </w:r>
      <w:r>
        <w:t xml:space="preserve"> </w:t>
      </w:r>
      <w:r>
        <w:t xml:space="preserve">Шапиро-Уилка. Переменные, имеющие нормальное распределение, описывались</w:t>
      </w:r>
      <w:r>
        <w:t xml:space="preserve"> </w:t>
      </w:r>
      <w:r>
        <w:t xml:space="preserve">как среднее ± стандартное отклонение (M±SD). Переменные, распределение</w:t>
      </w:r>
      <w:r>
        <w:t xml:space="preserve"> </w:t>
      </w:r>
      <w:r>
        <w:t xml:space="preserve">которых отличалось от нормального, описывались при помощи значений</w:t>
      </w:r>
      <w:r>
        <w:t xml:space="preserve"> </w:t>
      </w:r>
      <w:r>
        <w:t xml:space="preserve">медианы (Me) и нижнего и верхнего квартилей (Q1-Q3). Для определения</w:t>
      </w:r>
      <w:r>
        <w:t xml:space="preserve"> </w:t>
      </w:r>
      <w:r>
        <w:t xml:space="preserve">статистически значимой разницы непрерывных величин использовали критерий</w:t>
      </w:r>
      <w:r>
        <w:t xml:space="preserve"> </w:t>
      </w:r>
      <w:r>
        <w:t xml:space="preserve">Манна-Уитни для независимых непараметрических выборок при ненормальном</w:t>
      </w:r>
      <w:r>
        <w:t xml:space="preserve"> </w:t>
      </w:r>
      <w:r>
        <w:t xml:space="preserve">распределении и t-критерий Стюдента для независимых параметрических</w:t>
      </w:r>
      <w:r>
        <w:t xml:space="preserve"> </w:t>
      </w:r>
      <w:r>
        <w:t xml:space="preserve">выборок при нормальном. Для определения статистически значимой разницы</w:t>
      </w:r>
      <w:r>
        <w:t xml:space="preserve"> </w:t>
      </w:r>
      <w:r>
        <w:t xml:space="preserve">независимых качественных величин Хи-квадрат Пирсона, при недостаточном</w:t>
      </w:r>
      <w:r>
        <w:t xml:space="preserve"> </w:t>
      </w:r>
      <w:r>
        <w:t xml:space="preserve">количестве наблюдений, то есть число наблюдений в любой из ячеек</w:t>
      </w:r>
      <w:r>
        <w:t xml:space="preserve"> </w:t>
      </w:r>
      <w:r>
        <w:t xml:space="preserve">четырехпольной таблицы было менее 5 наблюдений, использовался точный</w:t>
      </w:r>
      <w:r>
        <w:t xml:space="preserve"> </w:t>
      </w:r>
      <w:r>
        <w:t xml:space="preserve">критерий Фишера.</w:t>
      </w:r>
    </w:p>
    <w:p>
      <w:pPr>
        <w:pStyle w:val="BodyText"/>
      </w:pPr>
      <w:r>
        <w:t xml:space="preserve">Для определения чувствительности, спецефичности и точности</w:t>
      </w:r>
      <w:r>
        <w:t xml:space="preserve"> </w:t>
      </w:r>
      <w:r>
        <w:t xml:space="preserve">использовалась функция confusionMatrix() из библиотека caret версия</w:t>
      </w:r>
      <w:r>
        <w:t xml:space="preserve"> </w:t>
      </w:r>
      <w:r>
        <w:t xml:space="preserve">3.45, язык программирования R (среда разработки RStudio). При</w:t>
      </w:r>
      <w:r>
        <w:t xml:space="preserve"> </w:t>
      </w:r>
      <w:r>
        <w:t xml:space="preserve">определении эффективности диагностических методов УЗИ, ММГ ABUS в</w:t>
      </w:r>
      <w:r>
        <w:t xml:space="preserve"> </w:t>
      </w:r>
      <w:r>
        <w:t xml:space="preserve">нахождении злокачественных новообразований в качестве контрольного</w:t>
      </w:r>
      <w:r>
        <w:t xml:space="preserve"> </w:t>
      </w:r>
      <w:r>
        <w:t xml:space="preserve">метода использовались данные гистологического исследования. При</w:t>
      </w:r>
      <w:r>
        <w:t xml:space="preserve"> </w:t>
      </w:r>
      <w:r>
        <w:t xml:space="preserve">определении эффективности диагностических методов УЗИ и ABUS в</w:t>
      </w:r>
      <w:r>
        <w:t xml:space="preserve"> </w:t>
      </w:r>
      <w:r>
        <w:t xml:space="preserve">нахождении кальцинатов в качестве контрольного метода использовались</w:t>
      </w:r>
      <w:r>
        <w:t xml:space="preserve"> </w:t>
      </w:r>
      <w:r>
        <w:t xml:space="preserve">данные ММГ исследования.</w:t>
      </w:r>
    </w:p>
    <w:p>
      <w:pPr>
        <w:pStyle w:val="BodyText"/>
      </w:pPr>
      <w:r>
        <w:t xml:space="preserve">Для построения предсказательной модели на основании данных</w:t>
      </w:r>
      <w:r>
        <w:t xml:space="preserve"> </w:t>
      </w:r>
      <w:r>
        <w:t xml:space="preserve">использовалась логистическая регрессия с помощью функций glm (),</w:t>
      </w:r>
      <w:r>
        <w:t xml:space="preserve"> </w:t>
      </w:r>
      <w:r>
        <w:t xml:space="preserve">predict() из пакета stats версия 3.6.2, язык программирования R (среда</w:t>
      </w:r>
      <w:r>
        <w:t xml:space="preserve"> </w:t>
      </w:r>
      <w:r>
        <w:t xml:space="preserve">разработки RStudio). Для оценки получено предсказательной модели и</w:t>
      </w:r>
      <w:r>
        <w:t xml:space="preserve"> </w:t>
      </w:r>
      <w:r>
        <w:t xml:space="preserve">построения ROC-кривой с расчетом площади под кривой (AUC - area under</w:t>
      </w:r>
      <w:r>
        <w:t xml:space="preserve"> </w:t>
      </w:r>
      <w:r>
        <w:t xml:space="preserve">curve) использовался пакет pROC version 1.18.4 с функцией roc().</w:t>
      </w:r>
    </w:p>
    <w:bookmarkEnd w:id="27"/>
    <w:bookmarkStart w:id="40" w:name="результаты-исследования"/>
    <w:p>
      <w:pPr>
        <w:pStyle w:val="Heading2"/>
      </w:pPr>
      <w:r>
        <w:t xml:space="preserve">Результаты исследования</w:t>
      </w:r>
    </w:p>
    <w:p>
      <w:pPr>
        <w:pStyle w:val="FirstParagraph"/>
      </w:pPr>
      <w:r>
        <w:rPr>
          <w:iCs/>
          <w:i/>
        </w:rPr>
        <w:t xml:space="preserve">Кальцинаты</w:t>
      </w:r>
    </w:p>
    <w:p>
      <w:pPr>
        <w:pStyle w:val="BodyText"/>
      </w:pPr>
      <w:r>
        <w:t xml:space="preserve">Кальцинаты по результатам УЗИ не было обнаружено образования в 87.33%</w:t>
      </w:r>
      <w:r>
        <w:t xml:space="preserve"> </w:t>
      </w:r>
      <w:r>
        <w:t xml:space="preserve">(572/655), макрокальцинаты были в 2.29% (15/655), микрокальцинаты в</w:t>
      </w:r>
      <w:r>
        <w:t xml:space="preserve"> </w:t>
      </w:r>
      <w:r>
        <w:t xml:space="preserve">4.73% (31/655) и кальцинаты определялись в 5.65% (37/655). По</w:t>
      </w:r>
      <w:r>
        <w:t xml:space="preserve"> </w:t>
      </w:r>
      <w:r>
        <w:t xml:space="preserve">результатам ABUS не было обнаружено образования в 87.79% (575/655).</w:t>
      </w:r>
      <w:r>
        <w:t xml:space="preserve"> </w:t>
      </w:r>
      <w:r>
        <w:t xml:space="preserve">Обнаружены макрокальцинаты в 1.83% (12/655), микрокальцинаты в 5.19%</w:t>
      </w:r>
      <w:r>
        <w:t xml:space="preserve"> </w:t>
      </w:r>
      <w:r>
        <w:t xml:space="preserve">(34/655) и кальцианты определялись в 5.19% (34/655). Статистически</w:t>
      </w:r>
      <w:r>
        <w:t xml:space="preserve"> </w:t>
      </w:r>
      <w:r>
        <w:t xml:space="preserve">значимой разницы между методами по определнию Кальцинатов не было</w:t>
      </w:r>
      <w:r>
        <w:t xml:space="preserve"> </w:t>
      </w:r>
      <w:r>
        <w:t xml:space="preserve">выявлено и p-уровень значимости составил 0.89 (Таблица 1, Рисунок 1).</w:t>
      </w:r>
    </w:p>
    <w:p>
      <w:pPr>
        <w:pStyle w:val="BodyText"/>
      </w:pPr>
      <w:r>
        <w:rPr>
          <w:iCs/>
          <w:i/>
        </w:rPr>
        <w:t xml:space="preserve">Категория BIRADS</w:t>
      </w:r>
    </w:p>
    <w:p>
      <w:pPr>
        <w:pStyle w:val="BodyText"/>
      </w:pPr>
      <w:r>
        <w:t xml:space="preserve">По результатам УЗИ категория Birads 1 в 2.75% (18/655), Birads 2 в</w:t>
      </w:r>
      <w:r>
        <w:t xml:space="preserve"> </w:t>
      </w:r>
      <w:r>
        <w:t xml:space="preserve">66.56% (436/655), Birads 3 в 8.4% (55/655), Birads 4b в 4.58% (30/655),</w:t>
      </w:r>
      <w:r>
        <w:t xml:space="preserve"> </w:t>
      </w:r>
      <w:r>
        <w:t xml:space="preserve">Birads 4c в 2.6% (17/655), Birads 4а в 5.5% (36/655) и Birads 5 в 9.62%</w:t>
      </w:r>
      <w:r>
        <w:t xml:space="preserve"> </w:t>
      </w:r>
      <w:r>
        <w:t xml:space="preserve">(63/655). По результатам ABUS категория Birads 1 была поставлена в 3.05%</w:t>
      </w:r>
      <w:r>
        <w:t xml:space="preserve"> </w:t>
      </w:r>
      <w:r>
        <w:t xml:space="preserve">(20/655), Birads 2 в 67.48% (442/655), Birads 3 в 7.18% (47/655), Birads</w:t>
      </w:r>
      <w:r>
        <w:t xml:space="preserve"> </w:t>
      </w:r>
      <w:r>
        <w:t xml:space="preserve">4b в 3.51% (23/655), Birads 4а в 3.66% (24/655), Birads 4c в 2.14%</w:t>
      </w:r>
      <w:r>
        <w:t xml:space="preserve"> </w:t>
      </w:r>
      <w:r>
        <w:t xml:space="preserve">(14/655) и Birads 5 в 12.98% (85/655). Статистически значимой разницы</w:t>
      </w:r>
      <w:r>
        <w:t xml:space="preserve"> </w:t>
      </w:r>
      <w:r>
        <w:t xml:space="preserve">между методами по определнию категории BIRADS не было выявлено p-уровень</w:t>
      </w:r>
      <w:r>
        <w:t xml:space="preserve"> </w:t>
      </w:r>
      <w:r>
        <w:t xml:space="preserve">значимости составил 0.27 (Таблица 1, Рисунок 1).</w:t>
      </w:r>
    </w:p>
    <w:p>
      <w:pPr>
        <w:pStyle w:val="BodyText"/>
      </w:pPr>
      <w:r>
        <w:t xml:space="preserve">Таблица №1. Сравнение методов УЗИ и ABUS по показателю</w:t>
      </w:r>
      <w:r>
        <w:t xml:space="preserve"> </w:t>
      </w:r>
      <w:r>
        <w:t xml:space="preserve">“</w:t>
      </w:r>
      <w:r>
        <w:t xml:space="preserve">Категория</w:t>
      </w:r>
      <w:r>
        <w:t xml:space="preserve"> </w:t>
      </w:r>
      <w:r>
        <w:t xml:space="preserve">BIRADS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Кальцинаты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Процентная доля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Процентная доля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Кальцинаты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макрокальцинаты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2.29 % ( 15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[ 0.01 ; 0.04 ]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1.832 % ( 12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[ 0.01 ; 0.03 ]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микрокальцинаты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4.733 % ( 31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[ 0.03 ; 0.07 ]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5.191 % ( 34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[ 0.04 ; 0.07 ]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было образования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87.328 % ( 572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[ 0.84 ; 0.9 ]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87.786 % ( 575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[ 0.85 ; 0.9 ]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5.649 % ( 37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[ 0.04 ; 0.08 ]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5.191 % ( 34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[ 0.04 ; 0.07 ]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 BIRADS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Birads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2.748 % ( 18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 0.04 ]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3.053 % ( 20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 0.05 ]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Birads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66.565 % ( 436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[ 0.63 ; 0.7 ]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67.481 % ( 442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[ 0.64 ; 0.71 ]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Birads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8.397 % ( 55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[ 0.06 ; 0.11 ]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7.176 % ( 47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[ 0.05 ; 0.09 ]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Birads 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4.58 % ( 30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[ 0.03 ; 0.07 ]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3.511 % ( 23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 0.05 ]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Birads 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2.595 % ( 17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 0.04 ]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2.137 % ( 14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[ 0.01 ; 0.04 ]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Birads 4а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5.496 % ( 36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[ 0.04 ; 0.08 ]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3.664 % ( 24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 0.05 ]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Birads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9.618 % ( 63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[ 0.08 ; 0.12 ]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12.977 % ( 85 / 655 )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[ 0.11 ; 0.16 ]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categoryBirad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g/calcinat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№1 Сравнение методов УЗИ и ABUS по показателю</w:t>
      </w:r>
      <w:r>
        <w:t xml:space="preserve"> </w:t>
      </w:r>
      <w:r>
        <w:t xml:space="preserve">“</w:t>
      </w:r>
      <w:r>
        <w:t xml:space="preserve">Категория BIRADS</w:t>
      </w:r>
      <w:r>
        <w:t xml:space="preserve">”</w:t>
      </w:r>
      <w:r>
        <w:t xml:space="preserve"> </w:t>
      </w:r>
      <w:r>
        <w:t xml:space="preserve">(а) и</w:t>
      </w:r>
      <w:r>
        <w:t xml:space="preserve"> </w:t>
      </w:r>
      <w:r>
        <w:t xml:space="preserve">“</w:t>
      </w:r>
      <w:r>
        <w:t xml:space="preserve">Кальцинаты</w:t>
      </w:r>
      <w:r>
        <w:t xml:space="preserve">”</w:t>
      </w:r>
      <w:r>
        <w:t xml:space="preserve"> </w:t>
      </w:r>
      <w:r>
        <w:t xml:space="preserve">(b).</w:t>
      </w:r>
    </w:p>
    <w:p>
      <w:pPr>
        <w:pStyle w:val="BodyText"/>
      </w:pPr>
      <w:r>
        <w:t xml:space="preserve">При оценке УЗИ количество истинно верно определенных образований как</w:t>
      </w:r>
      <w:r>
        <w:t xml:space="preserve"> </w:t>
      </w:r>
      <w:r>
        <w:t xml:space="preserve">отсутствие кальцината было 488 , количество верно определённых</w:t>
      </w:r>
      <w:r>
        <w:t xml:space="preserve"> </w:t>
      </w:r>
      <w:r>
        <w:t xml:space="preserve">образований как наличие кальцината было 65 , количество неверно</w:t>
      </w:r>
      <w:r>
        <w:t xml:space="preserve"> </w:t>
      </w:r>
      <w:r>
        <w:t xml:space="preserve">определенных кальцинатов как отсутствие кальцината было 84 и количество</w:t>
      </w:r>
      <w:r>
        <w:t xml:space="preserve"> </w:t>
      </w:r>
      <w:r>
        <w:t xml:space="preserve">определенных истинно отсутствовавших кальциантов как найденное было 18 .</w:t>
      </w:r>
      <w:r>
        <w:t xml:space="preserve"> </w:t>
      </w:r>
      <w:r>
        <w:t xml:space="preserve">Точность метода составила 0.84 [95% ДИ: 0.81 , 0.87 ]. P-Value модели</w:t>
      </w:r>
      <w:r>
        <w:t xml:space="preserve"> </w:t>
      </w:r>
      <w:r>
        <w:t xml:space="preserve">составил 0 что означает, что модель отличается от точности нулевой</w:t>
      </w:r>
      <w:r>
        <w:t xml:space="preserve"> </w:t>
      </w:r>
      <w:r>
        <w:t xml:space="preserve">гипотезы. Коэфициент Kappa составил 0.47 показывает, что метод не имеет</w:t>
      </w:r>
      <w:r>
        <w:t xml:space="preserve"> </w:t>
      </w:r>
      <w:r>
        <w:t xml:space="preserve">существенно отличную от контрольного метода частоту верно определенных</w:t>
      </w:r>
      <w:r>
        <w:t xml:space="preserve"> </w:t>
      </w:r>
      <w:r>
        <w:t xml:space="preserve">результатов (количество истинно положительных и отрицательных</w:t>
      </w:r>
      <w:r>
        <w:t xml:space="preserve"> </w:t>
      </w:r>
      <w:r>
        <w:t xml:space="preserve">результатов). Тест Макнемара составил 0 показывает, что метод не имеет</w:t>
      </w:r>
      <w:r>
        <w:t xml:space="preserve"> </w:t>
      </w:r>
      <w:r>
        <w:t xml:space="preserve">существенно отличную от контрольного метода частоту ошибок (количество</w:t>
      </w:r>
      <w:r>
        <w:t xml:space="preserve"> </w:t>
      </w:r>
      <w:r>
        <w:t xml:space="preserve">ложноположительных и ложноотрицательных результатов). Чувствительность</w:t>
      </w:r>
      <w:r>
        <w:t xml:space="preserve"> </w:t>
      </w:r>
      <w:r>
        <w:t xml:space="preserve">метода составила 0.44 . Специфичность метода составила 0.96 . Доля</w:t>
      </w:r>
      <w:r>
        <w:t xml:space="preserve"> </w:t>
      </w:r>
      <w:r>
        <w:t xml:space="preserve">положительных прогнозов составила 0.78 . Доля отрицательных прогнозов</w:t>
      </w:r>
      <w:r>
        <w:t xml:space="preserve"> </w:t>
      </w:r>
      <w:r>
        <w:t xml:space="preserve">составила 0.85 . Доля истинно положительных случаев в наборе данных</w:t>
      </w:r>
      <w:r>
        <w:t xml:space="preserve"> </w:t>
      </w:r>
      <w:r>
        <w:t xml:space="preserve">составила 0.23 . Доля истинно положительных случаев, правильно</w:t>
      </w:r>
      <w:r>
        <w:t xml:space="preserve"> </w:t>
      </w:r>
      <w:r>
        <w:t xml:space="preserve">определённых методом составила 0.1 . Отбалансированная точность метода</w:t>
      </w:r>
      <w:r>
        <w:t xml:space="preserve"> </w:t>
      </w:r>
      <w:r>
        <w:t xml:space="preserve">составила 0.7 (Таблица №2)</w:t>
      </w:r>
    </w:p>
    <w:p>
      <w:pPr>
        <w:pStyle w:val="BodyText"/>
      </w:pPr>
      <w:r>
        <w:t xml:space="preserve">При оценке ABUS количество истинно верно определенных образований как</w:t>
      </w:r>
      <w:r>
        <w:t xml:space="preserve"> </w:t>
      </w:r>
      <w:r>
        <w:t xml:space="preserve">отсутствие кальцината было 488 , количество верно определённых</w:t>
      </w:r>
      <w:r>
        <w:t xml:space="preserve"> </w:t>
      </w:r>
      <w:r>
        <w:t xml:space="preserve">образований как наличие кальцината было 62 , количество неверно</w:t>
      </w:r>
      <w:r>
        <w:t xml:space="preserve"> </w:t>
      </w:r>
      <w:r>
        <w:t xml:space="preserve">определенных кальцинатов как отсутствие кальцината было 87 и количество</w:t>
      </w:r>
      <w:r>
        <w:t xml:space="preserve"> </w:t>
      </w:r>
      <w:r>
        <w:t xml:space="preserve">определенных истинно отсутствовавших кальциантов как найденное было 18 .</w:t>
      </w:r>
      <w:r>
        <w:t xml:space="preserve"> </w:t>
      </w:r>
      <w:r>
        <w:t xml:space="preserve">Точность метода составила 0.84 [95% ДИ: 0.81 , 0.87 ]. P-Value модели</w:t>
      </w:r>
      <w:r>
        <w:t xml:space="preserve"> </w:t>
      </w:r>
      <w:r>
        <w:t xml:space="preserve">составил 0 что означает, что модель отличается от точности нулевой</w:t>
      </w:r>
      <w:r>
        <w:t xml:space="preserve"> </w:t>
      </w:r>
      <w:r>
        <w:t xml:space="preserve">гипотезы. Коэфициент Kappa составил 0.45 показывает, что метод не имеет</w:t>
      </w:r>
      <w:r>
        <w:t xml:space="preserve"> </w:t>
      </w:r>
      <w:r>
        <w:t xml:space="preserve">существенно отличную от контрольного метода частоту верно определенных</w:t>
      </w:r>
      <w:r>
        <w:t xml:space="preserve"> </w:t>
      </w:r>
      <w:r>
        <w:t xml:space="preserve">результатов (количество истинно положительных и отрицательных</w:t>
      </w:r>
      <w:r>
        <w:t xml:space="preserve"> </w:t>
      </w:r>
      <w:r>
        <w:t xml:space="preserve">результатов). Тест Макнемара составил 0 показывает, что метод не имеет</w:t>
      </w:r>
      <w:r>
        <w:t xml:space="preserve"> </w:t>
      </w:r>
      <w:r>
        <w:t xml:space="preserve">существенно отличную от контрольного метода частоту ошибок (количество</w:t>
      </w:r>
      <w:r>
        <w:t xml:space="preserve"> </w:t>
      </w:r>
      <w:r>
        <w:t xml:space="preserve">ложноположительных и ложноотрицательных результатов). Чувствительность</w:t>
      </w:r>
      <w:r>
        <w:t xml:space="preserve"> </w:t>
      </w:r>
      <w:r>
        <w:t xml:space="preserve">метода составила 0.42 . Специфичность метода составила 0.96 . Доля</w:t>
      </w:r>
      <w:r>
        <w:t xml:space="preserve"> </w:t>
      </w:r>
      <w:r>
        <w:t xml:space="preserve">положительных прогнозов составила 0.77 . Доля отрицательных прогнозов</w:t>
      </w:r>
      <w:r>
        <w:t xml:space="preserve"> </w:t>
      </w:r>
      <w:r>
        <w:t xml:space="preserve">составила 0.85 . Доля истинно положительных случаев в наборе данных</w:t>
      </w:r>
      <w:r>
        <w:t xml:space="preserve"> </w:t>
      </w:r>
      <w:r>
        <w:t xml:space="preserve">составила 0.23 . Доля истинно положительных случаев, правильно</w:t>
      </w:r>
      <w:r>
        <w:t xml:space="preserve"> </w:t>
      </w:r>
      <w:r>
        <w:t xml:space="preserve">определённых методом составила 0.09 . Отбалансированная точность метода</w:t>
      </w:r>
      <w:r>
        <w:t xml:space="preserve"> </w:t>
      </w:r>
      <w:r>
        <w:t xml:space="preserve">составила 0.69 (Таблица №2)</w:t>
      </w:r>
    </w:p>
    <w:p>
      <w:pPr>
        <w:pStyle w:val="BodyText"/>
      </w:pPr>
      <w:r>
        <w:t xml:space="preserve">Таблица №2. Определение точности, P-уровня значимости модели, коэфициент</w:t>
      </w:r>
      <w:r>
        <w:t xml:space="preserve"> </w:t>
      </w:r>
      <w:r>
        <w:t xml:space="preserve">Kappa, Тест Макнемара, чувствительности, специфичности и</w:t>
      </w:r>
      <w:r>
        <w:t xml:space="preserve"> </w:t>
      </w:r>
      <w:r>
        <w:t xml:space="preserve">отбалансированной точности изучаемых методов. (Т -Точность, P - P-Value,</w:t>
      </w:r>
      <w:r>
        <w:t xml:space="preserve"> </w:t>
      </w:r>
      <w:r>
        <w:t xml:space="preserve">КК - Коэффициент Kappa, ТМ -Тест Макнемара, Ч-Чувствительность, Сп</w:t>
      </w:r>
      <w:r>
        <w:t xml:space="preserve"> </w:t>
      </w:r>
      <w:r>
        <w:t xml:space="preserve">-Специфичность, ОТ- Отбалансированная точность)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 в группе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 [95% ДИ: 0.81 , 0.87 ]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 [95% ДИ: 0.81 , 0.87 ]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На основании полученных данных, пыла построена предсказательная модель</w:t>
      </w:r>
      <w:r>
        <w:t xml:space="preserve"> </w:t>
      </w:r>
      <w:r>
        <w:t xml:space="preserve">нахождения кальцинатов для изучаемых методов. ROC-кривая</w:t>
      </w:r>
      <w:r>
        <w:t xml:space="preserve"> </w:t>
      </w:r>
      <w:r>
        <w:t xml:space="preserve">предсказательной модели нахождения кальцинатов для метода УЗИ, по данным</w:t>
      </w:r>
      <w:r>
        <w:t xml:space="preserve"> </w:t>
      </w:r>
      <w:r>
        <w:t xml:space="preserve">полученным в группе D представлена на рисунке № 2a. Площадь под кривой</w:t>
      </w:r>
      <w:r>
        <w:t xml:space="preserve"> </w:t>
      </w:r>
      <w:r>
        <w:t xml:space="preserve">(AUC- area under cruve) составила: 0.735 95% ДИ: 0.684 - 0.786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g/pROC_obj_usGr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№2a. ROC-кривая предсказательной модели нахождения кальцинатов</w:t>
      </w:r>
      <w:r>
        <w:t xml:space="preserve"> </w:t>
      </w:r>
      <w:r>
        <w:t xml:space="preserve">для метода УЗИ, по данным полученным в группе D.</w:t>
      </w:r>
    </w:p>
    <w:p>
      <w:pPr>
        <w:pStyle w:val="BodyText"/>
      </w:pPr>
      <w:r>
        <w:t xml:space="preserve">ROC-кривая предсказательной модели нахождения кальцинатов для метода</w:t>
      </w:r>
      <w:r>
        <w:t xml:space="preserve"> </w:t>
      </w:r>
      <w:r>
        <w:t xml:space="preserve">УЗИ, по данным полученным в группе D представлена на рисунке № 2b.</w:t>
      </w:r>
      <w:r>
        <w:t xml:space="preserve"> </w:t>
      </w:r>
      <w:r>
        <w:t xml:space="preserve">Площадь под кривой (AUC- area under cruve) составила: 0.722 95% ДИ:</w:t>
      </w:r>
      <w:r>
        <w:t xml:space="preserve"> </w:t>
      </w:r>
      <w:r>
        <w:t xml:space="preserve">0.671 - 0.774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g/pROC_obj_abusGr4Calc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№2b. ROC-кривая предсказательной модели нахождения кальцинатов</w:t>
      </w:r>
      <w:r>
        <w:t xml:space="preserve"> </w:t>
      </w:r>
      <w:r>
        <w:t xml:space="preserve">для метода УЗИ, по данным полученным в группе D. (Таблица №5.20)</w:t>
      </w:r>
    </w:p>
    <w:p>
      <w:pPr>
        <w:pStyle w:val="BodyText"/>
      </w:pPr>
      <w:r>
        <w:t xml:space="preserve">Таблица №3. Определение площади под кривой представленных</w:t>
      </w:r>
      <w:r>
        <w:t xml:space="preserve"> </w:t>
      </w:r>
      <w:r>
        <w:t xml:space="preserve">предсказательных моделей метода.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Площадь под кривой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0.735 95% ДИ: 0.684 - 0.786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 в группе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 95% ДИ: 0.671 - 0.774</w:t>
            </w:r>
          </w:p>
        </w:tc>
      </w:tr>
    </w:tbl>
    <w:bookmarkEnd w:id="40"/>
    <w:bookmarkStart w:id="41" w:name="дисскусия"/>
    <w:p>
      <w:pPr>
        <w:pStyle w:val="Heading2"/>
      </w:pPr>
      <w:r>
        <w:t xml:space="preserve">Дисскусия</w:t>
      </w:r>
    </w:p>
    <w:p>
      <w:pPr>
        <w:pStyle w:val="FirstParagraph"/>
      </w:pPr>
      <w:r>
        <w:t xml:space="preserve">Настоящее исследование рассмотривает проблему обнаружение</w:t>
      </w:r>
      <w:r>
        <w:t xml:space="preserve"> </w:t>
      </w:r>
      <w:r>
        <w:t xml:space="preserve">микрокальцинатов через призму изучения новой технологии ABUS в сравнении</w:t>
      </w:r>
      <w:r>
        <w:t xml:space="preserve"> </w:t>
      </w:r>
      <w:r>
        <w:t xml:space="preserve">с УЗИ исследованием.</w:t>
      </w:r>
    </w:p>
    <w:p>
      <w:pPr>
        <w:pStyle w:val="BodyText"/>
      </w:pPr>
      <w:r>
        <w:t xml:space="preserve">Рак молочной железы является наиболее распространенным раком у женщин и</w:t>
      </w:r>
      <w:r>
        <w:t xml:space="preserve"> </w:t>
      </w:r>
      <w:r>
        <w:t xml:space="preserve">наиболее распространенной причиной смерти от рака во всем мире: в 2018</w:t>
      </w:r>
      <w:r>
        <w:t xml:space="preserve"> </w:t>
      </w:r>
      <w:r>
        <w:t xml:space="preserve">году было диагностировано около 2,1 миллиона случаев и более 620 000</w:t>
      </w:r>
      <w:r>
        <w:t xml:space="preserve"> </w:t>
      </w:r>
      <w:r>
        <w:t xml:space="preserve">случаев смерти во всем мире</w:t>
      </w:r>
      <w:r>
        <w:t xml:space="preserve"> </w:t>
      </w:r>
      <w:r>
        <w:t xml:space="preserve">[11]</w:t>
      </w:r>
      <w:r>
        <w:t xml:space="preserve">. Поэтому существует растущая</w:t>
      </w:r>
      <w:r>
        <w:t xml:space="preserve"> </w:t>
      </w:r>
      <w:r>
        <w:t xml:space="preserve">потребность в совершенствовании и расширении программ скрининга молочной</w:t>
      </w:r>
      <w:r>
        <w:t xml:space="preserve"> </w:t>
      </w:r>
      <w:r>
        <w:t xml:space="preserve">железы, которые, как было доказано, снижают смертность от рака молочной</w:t>
      </w:r>
      <w:r>
        <w:t xml:space="preserve"> </w:t>
      </w:r>
      <w:r>
        <w:t xml:space="preserve">железы до 45%</w:t>
      </w:r>
      <w:r>
        <w:t xml:space="preserve"> </w:t>
      </w:r>
      <w:r>
        <w:t xml:space="preserve">[12]</w:t>
      </w:r>
      <w:r>
        <w:t xml:space="preserve">, однако чувствительность скрининговой</w:t>
      </w:r>
      <w:r>
        <w:t xml:space="preserve"> </w:t>
      </w:r>
      <w:r>
        <w:t xml:space="preserve">маммографии ограничена плотной грудью, из-за чего она снижается до 48% у</w:t>
      </w:r>
      <w:r>
        <w:t xml:space="preserve"> </w:t>
      </w:r>
      <w:r>
        <w:t xml:space="preserve">пациенток с чрезвычайно плотной грудью (категория D по ACR)</w:t>
      </w:r>
      <w:r>
        <w:t xml:space="preserve"> </w:t>
      </w:r>
      <w:r>
        <w:t xml:space="preserve">[13]</w:t>
      </w:r>
      <w:r>
        <w:t xml:space="preserve">. Изучение факторов таких как микрокальцинаты, имеющих</w:t>
      </w:r>
      <w:r>
        <w:t xml:space="preserve"> </w:t>
      </w:r>
      <w:r>
        <w:t xml:space="preserve">предикативное значение являтся также важной задачей.</w:t>
      </w:r>
    </w:p>
    <w:p>
      <w:pPr>
        <w:pStyle w:val="BodyText"/>
      </w:pPr>
      <w:r>
        <w:t xml:space="preserve">Микрокальцификации молочной железы распространены, большинство из них</w:t>
      </w:r>
      <w:r>
        <w:t xml:space="preserve"> </w:t>
      </w:r>
      <w:r>
        <w:t xml:space="preserve">доброкачественные, увеличиваются с возрастом и характеризуются</w:t>
      </w:r>
      <w:r>
        <w:t xml:space="preserve"> </w:t>
      </w:r>
      <w:r>
        <w:t xml:space="preserve">морфологией, размером и распределением</w:t>
      </w:r>
      <w:r>
        <w:t xml:space="preserve"> </w:t>
      </w:r>
      <w:r>
        <w:t xml:space="preserve">[15]</w:t>
      </w:r>
      <w:r>
        <w:t xml:space="preserve">. Самым</w:t>
      </w:r>
      <w:r>
        <w:t xml:space="preserve"> </w:t>
      </w:r>
      <w:r>
        <w:t xml:space="preserve">важным и трудным шагом в изучении связи между микрокальцификацией и</w:t>
      </w:r>
      <w:r>
        <w:t xml:space="preserve"> </w:t>
      </w:r>
      <w:r>
        <w:t xml:space="preserve">раком молочной железы является определение и измерение</w:t>
      </w:r>
      <w:r>
        <w:t xml:space="preserve"> </w:t>
      </w:r>
      <w:r>
        <w:t xml:space="preserve">микрокальцификации. Микрокальцинаты неоднородны и варьируются от</w:t>
      </w:r>
      <w:r>
        <w:t xml:space="preserve"> </w:t>
      </w:r>
      <w:r>
        <w:t xml:space="preserve">доброкачественных изменений до маркеров злокачественности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Некоторые исследования включают микрокальцинаты с низким потенциалом</w:t>
      </w:r>
      <w:r>
        <w:t xml:space="preserve"> </w:t>
      </w:r>
      <w:r>
        <w:t xml:space="preserve">злокачественности, такие как артериальные кальцификации, которые не</w:t>
      </w:r>
      <w:r>
        <w:t xml:space="preserve"> </w:t>
      </w:r>
      <w:r>
        <w:t xml:space="preserve">связаны с раком молочной железы, но являются потенциальным суррогатным</w:t>
      </w:r>
      <w:r>
        <w:t xml:space="preserve"> </w:t>
      </w:r>
      <w:r>
        <w:t xml:space="preserve">маркером атеросклеротического сердечно-сосудистого заболевания</w:t>
      </w:r>
      <w:r>
        <w:t xml:space="preserve"> </w:t>
      </w:r>
      <w:r>
        <w:t xml:space="preserve">[17]</w:t>
      </w:r>
      <w:r>
        <w:t xml:space="preserve">. В других исследованиях использовалась система отчетности и</w:t>
      </w:r>
      <w:r>
        <w:t xml:space="preserve"> </w:t>
      </w:r>
      <w:r>
        <w:t xml:space="preserve">данных по визуализации молочной железы (BI-RADS)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которая является качественной и зависящей от читателя мерой</w:t>
      </w:r>
      <w:r>
        <w:t xml:space="preserve"> </w:t>
      </w:r>
      <w:r>
        <w:t xml:space="preserve">маммографических особенностей</w:t>
      </w:r>
      <w:r>
        <w:t xml:space="preserve"> </w:t>
      </w:r>
      <w:r>
        <w:t xml:space="preserve">[18]</w:t>
      </w:r>
      <w:r>
        <w:t xml:space="preserve">. Чтобы уменьшить</w:t>
      </w:r>
      <w:r>
        <w:t xml:space="preserve"> </w:t>
      </w:r>
      <w:r>
        <w:t xml:space="preserve">субъективность, мы используем систему CAD, разработанную для имитации</w:t>
      </w:r>
      <w:r>
        <w:t xml:space="preserve"> </w:t>
      </w:r>
      <w:r>
        <w:t xml:space="preserve">классификации BI-RADS и нацеленных на микрокальцификации,</w:t>
      </w:r>
      <w:r>
        <w:t xml:space="preserve"> </w:t>
      </w:r>
      <w:r>
        <w:t xml:space="preserve">классифицированные как BI-RADS 3–5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Обнадеживает то, что наш вывод о том, что риск рака молочной железы</w:t>
      </w:r>
      <w:r>
        <w:t xml:space="preserve"> </w:t>
      </w:r>
      <w:r>
        <w:t xml:space="preserve">увеличивается с увеличением количества кластеров микрокальцификации, был</w:t>
      </w:r>
      <w:r>
        <w:t xml:space="preserve"> </w:t>
      </w:r>
      <w:r>
        <w:t xml:space="preserve">показан ранее</w:t>
      </w:r>
      <w:r>
        <w:t xml:space="preserve"> </w:t>
      </w:r>
      <w:r>
        <w:t xml:space="preserve">[5]</w:t>
      </w:r>
      <w:r>
        <w:t xml:space="preserve">. Связь между количеством кластеров</w:t>
      </w:r>
      <w:r>
        <w:t xml:space="preserve"> </w:t>
      </w:r>
      <w:r>
        <w:t xml:space="preserve">микрокальцификации и риском рака молочной железы in situ также</w:t>
      </w:r>
      <w:r>
        <w:t xml:space="preserve"> </w:t>
      </w:r>
      <w:r>
        <w:t xml:space="preserve">согласуется с предыдущими исследованиями</w:t>
      </w:r>
      <w:r>
        <w:t xml:space="preserve"> </w:t>
      </w:r>
      <w:r>
        <w:t xml:space="preserve">[19,20]</w:t>
      </w:r>
      <w:r>
        <w:t xml:space="preserve">.</w:t>
      </w:r>
      <w:r>
        <w:t xml:space="preserve"> </w:t>
      </w:r>
      <w:r>
        <w:t xml:space="preserve">Некоторые исследования не включали инвазивный рак молочной железы</w:t>
      </w:r>
      <w:r>
        <w:t xml:space="preserve"> </w:t>
      </w:r>
      <w:r>
        <w:t xml:space="preserve">[19,20]</w:t>
      </w:r>
      <w:r>
        <w:t xml:space="preserve">, что снижает обобщаемость результатов и</w:t>
      </w:r>
      <w:r>
        <w:t xml:space="preserve"> </w:t>
      </w:r>
      <w:r>
        <w:t xml:space="preserve">затрудняет использование результатов для моделирования прогнозирования</w:t>
      </w:r>
      <w:r>
        <w:t xml:space="preserve"> </w:t>
      </w:r>
      <w:r>
        <w:t xml:space="preserve">риска.</w:t>
      </w:r>
    </w:p>
    <w:p>
      <w:pPr>
        <w:pStyle w:val="BodyText"/>
      </w:pPr>
      <w:r>
        <w:t xml:space="preserve">Биологический механизм отложения кальция в тканях молочной железы до</w:t>
      </w:r>
      <w:r>
        <w:t xml:space="preserve"> </w:t>
      </w:r>
      <w:r>
        <w:t xml:space="preserve">конца не ясен, но, учитывая гетерогенность микрокальцификатов, скорее</w:t>
      </w:r>
      <w:r>
        <w:t xml:space="preserve"> </w:t>
      </w:r>
      <w:r>
        <w:t xml:space="preserve">всего, задействованы несколько биологических процессов</w:t>
      </w:r>
      <w:r>
        <w:t xml:space="preserve"> </w:t>
      </w:r>
      <w:r>
        <w:t xml:space="preserve">[1,21]</w:t>
      </w:r>
      <w:r>
        <w:t xml:space="preserve">. Эпителиально-мезенхимальный переход был предложен в</w:t>
      </w:r>
      <w:r>
        <w:t xml:space="preserve"> </w:t>
      </w:r>
      <w:r>
        <w:t xml:space="preserve">качестве правдоподобного биологического объяснения образования</w:t>
      </w:r>
      <w:r>
        <w:t xml:space="preserve"> </w:t>
      </w:r>
      <w:r>
        <w:t xml:space="preserve">злокачественных микрокальцинатов</w:t>
      </w:r>
      <w:r>
        <w:t xml:space="preserve"> </w:t>
      </w:r>
      <w:r>
        <w:t xml:space="preserve">[21,22]</w:t>
      </w:r>
      <w:r>
        <w:t xml:space="preserve">.</w:t>
      </w:r>
      <w:r>
        <w:t xml:space="preserve"> </w:t>
      </w:r>
      <w:r>
        <w:t xml:space="preserve">Эпителиально-мезенхимальный переход позволяет эпителиальным клеткам,</w:t>
      </w:r>
      <w:r>
        <w:t xml:space="preserve"> </w:t>
      </w:r>
      <w:r>
        <w:t xml:space="preserve">обычно прикрепленным к базальной мембране, претерпевать ряд</w:t>
      </w:r>
      <w:r>
        <w:t xml:space="preserve"> </w:t>
      </w:r>
      <w:r>
        <w:t xml:space="preserve">биохимических изменений, включая увеличение миграционной способности,</w:t>
      </w:r>
      <w:r>
        <w:t xml:space="preserve"> </w:t>
      </w:r>
      <w:r>
        <w:t xml:space="preserve">инвазивность и продукцию внеклеточного матрикса</w:t>
      </w:r>
      <w:r>
        <w:t xml:space="preserve"> </w:t>
      </w:r>
      <w:r>
        <w:t xml:space="preserve">[21]</w:t>
      </w:r>
      <w:r>
        <w:t xml:space="preserve">. Было</w:t>
      </w:r>
      <w:r>
        <w:t xml:space="preserve"> </w:t>
      </w:r>
      <w:r>
        <w:t xml:space="preserve">высказано предположение, что эпителиальные клетки, приобретающие</w:t>
      </w:r>
      <w:r>
        <w:t xml:space="preserve"> </w:t>
      </w:r>
      <w:r>
        <w:t xml:space="preserve">мезенхимальные характеристики, становятся способными продуцировать</w:t>
      </w:r>
      <w:r>
        <w:t xml:space="preserve"> </w:t>
      </w:r>
      <w:r>
        <w:t xml:space="preserve">микрокальцификации молочной железы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Наше исследование имеет некоторые ограничения. Настоящее исследование</w:t>
      </w:r>
      <w:r>
        <w:t xml:space="preserve"> </w:t>
      </w:r>
      <w:r>
        <w:t xml:space="preserve">является моноцентровым. Центр, в котором проводилось исследование имеет</w:t>
      </w:r>
      <w:r>
        <w:t xml:space="preserve"> </w:t>
      </w:r>
      <w:r>
        <w:t xml:space="preserve">специфику работы с пациентами представленного профиля и оценить</w:t>
      </w:r>
      <w:r>
        <w:t xml:space="preserve"> </w:t>
      </w:r>
      <w:r>
        <w:t xml:space="preserve">возможности метода в других много профильных центрах еще придется.</w:t>
      </w:r>
    </w:p>
    <w:bookmarkEnd w:id="41"/>
    <w:bookmarkStart w:id="42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По результатам проведенного нами сравнительного анализа диагностической</w:t>
      </w:r>
      <w:r>
        <w:t xml:space="preserve"> </w:t>
      </w:r>
      <w:r>
        <w:t xml:space="preserve">эффективности обнаружения кальцианатов, именно УЗИ в B-режиме и</w:t>
      </w:r>
      <w:r>
        <w:t xml:space="preserve"> </w:t>
      </w:r>
      <w:r>
        <w:t xml:space="preserve">автоматизированного объемного сканирования молочных желез (ABUS) у</w:t>
      </w:r>
      <w:r>
        <w:t xml:space="preserve"> </w:t>
      </w:r>
      <w:r>
        <w:t xml:space="preserve">женщин в возрастной группе 40 лет и старше лет с неоднородной и высокой</w:t>
      </w:r>
      <w:r>
        <w:t xml:space="preserve"> </w:t>
      </w:r>
      <w:r>
        <w:t xml:space="preserve">плотностью тканей молочной железы эффективность методов сопоставима.</w:t>
      </w:r>
    </w:p>
    <w:bookmarkEnd w:id="42"/>
    <w:bookmarkStart w:id="43" w:name="section"/>
    <w:p>
      <w:pPr>
        <w:pStyle w:val="Heading2"/>
      </w:pPr>
    </w:p>
    <w:bookmarkEnd w:id="43"/>
    <w:bookmarkStart w:id="84" w:name="список-литературы"/>
    <w:p>
      <w:pPr>
        <w:pStyle w:val="Heading2"/>
      </w:pPr>
      <w:r>
        <w:t xml:space="preserve">Список литературы</w:t>
      </w:r>
    </w:p>
    <w:bookmarkStart w:id="83" w:name="refs"/>
    <w:bookmarkStart w:id="45" w:name="ref-wilkinson201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Wilkinson L, Thomas V, Sharma N. Microcalcification on mammography: approaches to interpretation and biopsy.</w:t>
      </w:r>
      <w:r>
        <w:t xml:space="preserve"> </w:t>
      </w:r>
      <w:r>
        <w:rPr>
          <w:iCs/>
          <w:i/>
        </w:rPr>
        <w:t xml:space="preserve">The British Journal of Radiology</w:t>
      </w:r>
      <w:r>
        <w:t xml:space="preserve">. 2017;90(1069):20160594. doi:</w:t>
      </w:r>
      <w:hyperlink r:id="rId44">
        <w:r>
          <w:rPr>
            <w:rStyle w:val="Hyperlink"/>
          </w:rPr>
          <w:t xml:space="preserve">10.1259/bjr.20160594</w:t>
        </w:r>
      </w:hyperlink>
    </w:p>
    <w:bookmarkEnd w:id="45"/>
    <w:bookmarkStart w:id="47" w:name="ref-cox2012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Cox RF, Hernandez-Santana A, Ramdass S, McMahon G, Harmey JH, Morgan MP. Microcalcifications in breast cancer: novel insights into the molecular mechanism and functional consequence of mammary mineralisation.</w:t>
      </w:r>
      <w:r>
        <w:t xml:space="preserve"> </w:t>
      </w:r>
      <w:r>
        <w:rPr>
          <w:iCs/>
          <w:i/>
        </w:rPr>
        <w:t xml:space="preserve">British Journal of Cancer</w:t>
      </w:r>
      <w:r>
        <w:t xml:space="preserve">. 2012;106(3):525-537. doi:</w:t>
      </w:r>
      <w:hyperlink r:id="rId46">
        <w:r>
          <w:rPr>
            <w:rStyle w:val="Hyperlink"/>
          </w:rPr>
          <w:t xml:space="preserve">10.1038/bjc.2011.583</w:t>
        </w:r>
      </w:hyperlink>
    </w:p>
    <w:bookmarkEnd w:id="47"/>
    <w:bookmarkStart w:id="49" w:name="ref-henrot2014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Henrot P, Leroux A, Barlier C, Génin P. Breast microcalcifications: The lesions in anatomical pathology.</w:t>
      </w:r>
      <w:r>
        <w:t xml:space="preserve"> </w:t>
      </w:r>
      <w:r>
        <w:rPr>
          <w:iCs/>
          <w:i/>
        </w:rPr>
        <w:t xml:space="preserve">Diagnostic and Interventional Imaging</w:t>
      </w:r>
      <w:r>
        <w:t xml:space="preserve">. 2014;95(2):141-152. doi:</w:t>
      </w:r>
      <w:hyperlink r:id="rId48">
        <w:r>
          <w:rPr>
            <w:rStyle w:val="Hyperlink"/>
          </w:rPr>
          <w:t xml:space="preserve">10.1016/j.diii.2013.12.011</w:t>
        </w:r>
      </w:hyperlink>
    </w:p>
    <w:bookmarkEnd w:id="49"/>
    <w:bookmarkStart w:id="51" w:name="ref-park2000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PARK JM, CHOI HK, BAE S-J, LEE M-S, AHN S-H, GONG G. Clustering of Breast Microcalcifications: Revisited.</w:t>
      </w:r>
      <w:r>
        <w:t xml:space="preserve"> </w:t>
      </w:r>
      <w:r>
        <w:rPr>
          <w:iCs/>
          <w:i/>
        </w:rPr>
        <w:t xml:space="preserve">Clinical Radiology</w:t>
      </w:r>
      <w:r>
        <w:t xml:space="preserve">. 2000;55(2):114-118. doi:</w:t>
      </w:r>
      <w:hyperlink r:id="rId50">
        <w:r>
          <w:rPr>
            <w:rStyle w:val="Hyperlink"/>
          </w:rPr>
          <w:t xml:space="preserve">10.1053/crad.1999.0220</w:t>
        </w:r>
      </w:hyperlink>
    </w:p>
    <w:bookmarkEnd w:id="51"/>
    <w:bookmarkStart w:id="53" w:name="ref-alshehali2019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Alsheh Ali M, Czene K, Hall P, Humphreys K. Association of Microcalcification Clusters with Short-term Invasive Breast Cancer Risk and Breast Cancer Risk Factors.</w:t>
      </w:r>
      <w:r>
        <w:t xml:space="preserve"> </w:t>
      </w:r>
      <w:r>
        <w:rPr>
          <w:iCs/>
          <w:i/>
        </w:rPr>
        <w:t xml:space="preserve">Scientific Reports</w:t>
      </w:r>
      <w:r>
        <w:t xml:space="preserve">. 2019;9(1). doi:</w:t>
      </w:r>
      <w:hyperlink r:id="rId52">
        <w:r>
          <w:rPr>
            <w:rStyle w:val="Hyperlink"/>
          </w:rPr>
          <w:t xml:space="preserve">10.1038/s41598-019-51186-w</w:t>
        </w:r>
      </w:hyperlink>
    </w:p>
    <w:bookmarkEnd w:id="53"/>
    <w:bookmarkStart w:id="55" w:name="ref-gatta2021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Gatta G, Cappabianca S, La Forgia D, et al. Second-Generation 3D Automated Breast Ultrasonography (Prone ABUS) for Dense Breast Cancer Screening Integrated to Mammography: Effectiveness, Performance and Detection Rates.</w:t>
      </w:r>
      <w:r>
        <w:t xml:space="preserve"> </w:t>
      </w:r>
      <w:r>
        <w:rPr>
          <w:iCs/>
          <w:i/>
        </w:rPr>
        <w:t xml:space="preserve">Journal of Personalized Medicine</w:t>
      </w:r>
      <w:r>
        <w:t xml:space="preserve">. 2021;11(9):875. doi:</w:t>
      </w:r>
      <w:hyperlink r:id="rId54">
        <w:r>
          <w:rPr>
            <w:rStyle w:val="Hyperlink"/>
          </w:rPr>
          <w:t xml:space="preserve">10.3390/jpm11090875</w:t>
        </w:r>
      </w:hyperlink>
    </w:p>
    <w:bookmarkEnd w:id="55"/>
    <w:bookmarkStart w:id="56" w:name="ref-niell2017screening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Niell BL, Freer PE, Weinfurtner RJ, Arleo EK, Drukteinis JS. Screening for breast cancer.</w:t>
      </w:r>
      <w:r>
        <w:t xml:space="preserve"> </w:t>
      </w:r>
      <w:r>
        <w:rPr>
          <w:iCs/>
          <w:i/>
        </w:rPr>
        <w:t xml:space="preserve">Radiologic clinics</w:t>
      </w:r>
      <w:r>
        <w:t xml:space="preserve">. 2017;55(6):1145-1162.</w:t>
      </w:r>
    </w:p>
    <w:bookmarkEnd w:id="56"/>
    <w:bookmarkStart w:id="57" w:name="ref-mckinney2020international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McKinney SM, Sieniek M, Godbole V, et al. International evaluation of an AI system for breast cancer screening.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2020;577(7788):89-94.</w:t>
      </w:r>
    </w:p>
    <w:bookmarkEnd w:id="57"/>
    <w:bookmarkStart w:id="58" w:name="ref-freer2015mammographic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Freer PE. Mammographic breast density: Impact on breast cancer risk and implications for screening.</w:t>
      </w:r>
      <w:r>
        <w:t xml:space="preserve"> </w:t>
      </w:r>
      <w:r>
        <w:rPr>
          <w:iCs/>
          <w:i/>
        </w:rPr>
        <w:t xml:space="preserve">Radiographics</w:t>
      </w:r>
      <w:r>
        <w:t xml:space="preserve">. 2015;35(2):302-315.</w:t>
      </w:r>
    </w:p>
    <w:bookmarkEnd w:id="58"/>
    <w:bookmarkStart w:id="60" w:name="ref-bocabene2021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Boca (Bene) I, Ciurea AI, Ciortea CA, Dudea SM. Pros and Cons for Automated Breast Ultrasound (ABUS): A Narrative Review.</w:t>
      </w:r>
      <w:r>
        <w:t xml:space="preserve"> </w:t>
      </w:r>
      <w:r>
        <w:rPr>
          <w:iCs/>
          <w:i/>
        </w:rPr>
        <w:t xml:space="preserve">Journal of Personalized Medicine</w:t>
      </w:r>
      <w:r>
        <w:t xml:space="preserve">. 2021;11(8):703. doi:</w:t>
      </w:r>
      <w:hyperlink r:id="rId59">
        <w:r>
          <w:rPr>
            <w:rStyle w:val="Hyperlink"/>
          </w:rPr>
          <w:t xml:space="preserve">10.3390/jpm11080703</w:t>
        </w:r>
      </w:hyperlink>
    </w:p>
    <w:bookmarkEnd w:id="60"/>
    <w:bookmarkStart w:id="62" w:name="ref-bray2018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Bray F, Ferlay J, Soerjomataram I, Siegel RL, Torre LA, Jemal A. Global cancer statistics 2018: GLOBOCAN estimates of incidence and mortality worldwide for 36 cancers in 185 countries.</w:t>
      </w:r>
      <w:r>
        <w:t xml:space="preserve"> </w:t>
      </w:r>
      <w:r>
        <w:rPr>
          <w:iCs/>
          <w:i/>
        </w:rPr>
        <w:t xml:space="preserve">CA: A Cancer Journal for Clinicians</w:t>
      </w:r>
      <w:r>
        <w:t xml:space="preserve">. 2018;68(6):394-424. doi:</w:t>
      </w:r>
      <w:hyperlink r:id="rId61">
        <w:r>
          <w:rPr>
            <w:rStyle w:val="Hyperlink"/>
          </w:rPr>
          <w:t xml:space="preserve">10.3322/caac.21492</w:t>
        </w:r>
      </w:hyperlink>
    </w:p>
    <w:bookmarkEnd w:id="62"/>
    <w:bookmarkStart w:id="63" w:name="ref-myers2015benefits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Myers ER, Moorman P, Gierisch JM, et al. Benefits and harms of breast cancer screening: A systematic review.</w:t>
      </w:r>
      <w:r>
        <w:t xml:space="preserve"> </w:t>
      </w:r>
      <w:r>
        <w:rPr>
          <w:iCs/>
          <w:i/>
        </w:rPr>
        <w:t xml:space="preserve">Jama</w:t>
      </w:r>
      <w:r>
        <w:t xml:space="preserve">. 2015;314(15):1615-1634.</w:t>
      </w:r>
    </w:p>
    <w:bookmarkEnd w:id="63"/>
    <w:bookmarkStart w:id="65" w:name="ref-akram2017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Akram M, Iqbal M, Daniyal M, Khan AU. Awareness and current knowledge of breast cancer.</w:t>
      </w:r>
      <w:r>
        <w:t xml:space="preserve"> </w:t>
      </w:r>
      <w:r>
        <w:rPr>
          <w:iCs/>
          <w:i/>
        </w:rPr>
        <w:t xml:space="preserve">Biological Research</w:t>
      </w:r>
      <w:r>
        <w:t xml:space="preserve">. 2017;50(1). doi:</w:t>
      </w:r>
      <w:hyperlink r:id="rId64">
        <w:r>
          <w:rPr>
            <w:rStyle w:val="Hyperlink"/>
          </w:rPr>
          <w:t xml:space="preserve">10.1186/s40659-017-0140-9</w:t>
        </w:r>
      </w:hyperlink>
    </w:p>
    <w:bookmarkEnd w:id="65"/>
    <w:bookmarkStart w:id="66" w:name="ref-d2013dat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D’Orsi C, Sickles E, Mendelson E, ME RB. Data system: ACR BI-RADS breast imaging atlas.</w:t>
      </w:r>
      <w:r>
        <w:t xml:space="preserve"> </w:t>
      </w:r>
      <w:r>
        <w:rPr>
          <w:iCs/>
          <w:i/>
        </w:rPr>
        <w:t xml:space="preserve">Reston, VA: American College of Radiology</w:t>
      </w:r>
      <w:r>
        <w:t xml:space="preserve">. Published online 2013.</w:t>
      </w:r>
    </w:p>
    <w:bookmarkEnd w:id="66"/>
    <w:bookmarkStart w:id="68" w:name="ref-barman201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Barman I, Dingari NC, Saha A, et al. Application of Raman Spectroscopy to Identify Microcalcifications and Underlying Breast Lesions at Stereotactic Core Needle Biopsy.</w:t>
      </w:r>
      <w:r>
        <w:t xml:space="preserve"> </w:t>
      </w:r>
      <w:r>
        <w:rPr>
          <w:iCs/>
          <w:i/>
        </w:rPr>
        <w:t xml:space="preserve">Cancer Research</w:t>
      </w:r>
      <w:r>
        <w:t xml:space="preserve">. 2013;73(11):3206-3215. doi:</w:t>
      </w:r>
      <w:hyperlink r:id="rId67">
        <w:r>
          <w:rPr>
            <w:rStyle w:val="Hyperlink"/>
          </w:rPr>
          <w:t xml:space="preserve">10.1158/0008-5472.can-12-2313</w:t>
        </w:r>
      </w:hyperlink>
    </w:p>
    <w:bookmarkEnd w:id="68"/>
    <w:bookmarkStart w:id="70" w:name="ref-tot2021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Tot T, Gere M, Hofmeyer S, Bauer A, Pellas U. The clinical value of detecting microcalcifications on a mammogram.</w:t>
      </w:r>
      <w:r>
        <w:t xml:space="preserve"> </w:t>
      </w:r>
      <w:r>
        <w:rPr>
          <w:iCs/>
          <w:i/>
        </w:rPr>
        <w:t xml:space="preserve">Seminars in Cancer Biology</w:t>
      </w:r>
      <w:r>
        <w:t xml:space="preserve">. 2021;72:165-174. doi:</w:t>
      </w:r>
      <w:hyperlink r:id="rId69">
        <w:r>
          <w:rPr>
            <w:rStyle w:val="Hyperlink"/>
          </w:rPr>
          <w:t xml:space="preserve">10.1016/j.semcancer.2019.10.024</w:t>
        </w:r>
      </w:hyperlink>
    </w:p>
    <w:bookmarkEnd w:id="70"/>
    <w:bookmarkStart w:id="72" w:name="ref-bui2019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Bui QM, Daniels LB. A Review of the Role of Breast Arterial Calcification for Cardiovascular Risk Stratification in Women.</w:t>
      </w:r>
      <w:r>
        <w:t xml:space="preserve"> </w:t>
      </w:r>
      <w:r>
        <w:rPr>
          <w:iCs/>
          <w:i/>
        </w:rPr>
        <w:t xml:space="preserve">Circulation</w:t>
      </w:r>
      <w:r>
        <w:t xml:space="preserve">. 2019;139(8):1094-1101. doi:</w:t>
      </w:r>
      <w:hyperlink r:id="rId71">
        <w:r>
          <w:rPr>
            <w:rStyle w:val="Hyperlink"/>
          </w:rPr>
          <w:t xml:space="preserve">10.1161/circulationaha.118.038092</w:t>
        </w:r>
      </w:hyperlink>
    </w:p>
    <w:bookmarkEnd w:id="72"/>
    <w:bookmarkStart w:id="74" w:name="ref-rao2016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Rao AA, Feneis J, Lalonde C, Ojeda-Fournier H. A Pictorial Review of Changes in the BI-RADS Fifth Edition.</w:t>
      </w:r>
      <w:r>
        <w:t xml:space="preserve"> </w:t>
      </w:r>
      <w:r>
        <w:rPr>
          <w:iCs/>
          <w:i/>
        </w:rPr>
        <w:t xml:space="preserve">RadioGraphics</w:t>
      </w:r>
      <w:r>
        <w:t xml:space="preserve">. 2016;36(3):623-639. doi:</w:t>
      </w:r>
      <w:hyperlink r:id="rId73">
        <w:r>
          <w:rPr>
            <w:rStyle w:val="Hyperlink"/>
          </w:rPr>
          <w:t xml:space="preserve">10.1148/rg.2016150178</w:t>
        </w:r>
      </w:hyperlink>
    </w:p>
    <w:bookmarkEnd w:id="74"/>
    <w:bookmarkStart w:id="76" w:name="ref-hofvind2011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Hofvind S, Iversen BF, Eriksen L, Styr BM, Kjellevold K, Kurz KD. Mammographic morphology and distribution of calcifications in ductal carcinoma</w:t>
      </w:r>
      <w:r>
        <w:t xml:space="preserve"> </w:t>
      </w:r>
      <w:r>
        <w:rPr>
          <w:iCs/>
          <w:i/>
        </w:rPr>
        <w:t xml:space="preserve">in situ</w:t>
      </w:r>
      <w:r>
        <w:t xml:space="preserve"> </w:t>
      </w:r>
      <w:r>
        <w:t xml:space="preserve">diagnosed in organized screening.</w:t>
      </w:r>
      <w:r>
        <w:t xml:space="preserve"> </w:t>
      </w:r>
      <w:r>
        <w:rPr>
          <w:iCs/>
          <w:i/>
        </w:rPr>
        <w:t xml:space="preserve">Acta Radiologica</w:t>
      </w:r>
      <w:r>
        <w:t xml:space="preserve">. 2011;52(5):481-487. doi:</w:t>
      </w:r>
      <w:hyperlink r:id="rId75">
        <w:r>
          <w:rPr>
            <w:rStyle w:val="Hyperlink"/>
          </w:rPr>
          <w:t xml:space="preserve">10.1258/ar.2011.100357</w:t>
        </w:r>
      </w:hyperlink>
    </w:p>
    <w:bookmarkEnd w:id="76"/>
    <w:bookmarkStart w:id="78" w:name="ref-stomper1992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Stomper PC, Connolly JL. Ductal carcinoma in situ of the breast: correlation between mammographic calcification and tumor subtype.</w:t>
      </w:r>
      <w:r>
        <w:t xml:space="preserve"> </w:t>
      </w:r>
      <w:r>
        <w:rPr>
          <w:iCs/>
          <w:i/>
        </w:rPr>
        <w:t xml:space="preserve">American Journal of Roentgenology</w:t>
      </w:r>
      <w:r>
        <w:t xml:space="preserve">. 1992;159(3):483-485. doi:</w:t>
      </w:r>
      <w:hyperlink r:id="rId77">
        <w:r>
          <w:rPr>
            <w:rStyle w:val="Hyperlink"/>
          </w:rPr>
          <w:t xml:space="preserve">10.2214/ajr.159.3.1323923</w:t>
        </w:r>
      </w:hyperlink>
    </w:p>
    <w:bookmarkEnd w:id="78"/>
    <w:bookmarkStart w:id="80" w:name="ref-scimeca2014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Scimeca M, Giannini E, Antonacci C, Pistolese CA, Spagnoli LG, Bonanno E. Microcalcifications in breast cancer: an active phenomenon mediated by epithelial cells with mesenchymal characteristics.</w:t>
      </w:r>
      <w:r>
        <w:t xml:space="preserve"> </w:t>
      </w:r>
      <w:r>
        <w:rPr>
          <w:iCs/>
          <w:i/>
        </w:rPr>
        <w:t xml:space="preserve">BMC Cancer</w:t>
      </w:r>
      <w:r>
        <w:t xml:space="preserve">. 2014;14(1). doi:</w:t>
      </w:r>
      <w:hyperlink r:id="rId79">
        <w:r>
          <w:rPr>
            <w:rStyle w:val="Hyperlink"/>
          </w:rPr>
          <w:t xml:space="preserve">10.1186/1471-2407-14-286</w:t>
        </w:r>
      </w:hyperlink>
    </w:p>
    <w:bookmarkEnd w:id="80"/>
    <w:bookmarkStart w:id="82" w:name="ref-li201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Li Q, Jiang Q, Uitto J. Ectopic mineralization disorders of the extracellular matrix of connective tissue: Molecular genetics and pathomechanisms of aberrant calcification.</w:t>
      </w:r>
      <w:r>
        <w:t xml:space="preserve"> </w:t>
      </w:r>
      <w:r>
        <w:rPr>
          <w:iCs/>
          <w:i/>
        </w:rPr>
        <w:t xml:space="preserve">Matrix Biology</w:t>
      </w:r>
      <w:r>
        <w:t xml:space="preserve">. 2014;33:23-28. doi:</w:t>
      </w:r>
      <w:hyperlink r:id="rId81">
        <w:r>
          <w:rPr>
            <w:rStyle w:val="Hyperlink"/>
          </w:rPr>
          <w:t xml:space="preserve">10.1016/j.matbio.2013.06.003</w:t>
        </w:r>
      </w:hyperlink>
    </w:p>
    <w:bookmarkEnd w:id="82"/>
    <w:bookmarkEnd w:id="83"/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24" Target="media/rId24.png" /><Relationship Type="http://schemas.openxmlformats.org/officeDocument/2006/relationships/hyperlink" Id="rId48" Target="https://doi.org/10.1016/j.diii.2013.12.011" TargetMode="External" /><Relationship Type="http://schemas.openxmlformats.org/officeDocument/2006/relationships/hyperlink" Id="rId81" Target="https://doi.org/10.1016/j.matbio.2013.06.003" TargetMode="External" /><Relationship Type="http://schemas.openxmlformats.org/officeDocument/2006/relationships/hyperlink" Id="rId69" Target="https://doi.org/10.1016/j.semcancer.2019.10.024" TargetMode="External" /><Relationship Type="http://schemas.openxmlformats.org/officeDocument/2006/relationships/hyperlink" Id="rId46" Target="https://doi.org/10.1038/bjc.2011.583" TargetMode="External" /><Relationship Type="http://schemas.openxmlformats.org/officeDocument/2006/relationships/hyperlink" Id="rId52" Target="https://doi.org/10.1038/s41598-019-51186-w" TargetMode="External" /><Relationship Type="http://schemas.openxmlformats.org/officeDocument/2006/relationships/hyperlink" Id="rId50" Target="https://doi.org/10.1053/crad.1999.0220" TargetMode="External" /><Relationship Type="http://schemas.openxmlformats.org/officeDocument/2006/relationships/hyperlink" Id="rId73" Target="https://doi.org/10.1148/rg.2016150178" TargetMode="External" /><Relationship Type="http://schemas.openxmlformats.org/officeDocument/2006/relationships/hyperlink" Id="rId67" Target="https://doi.org/10.1158/0008-5472.can-12-2313" TargetMode="External" /><Relationship Type="http://schemas.openxmlformats.org/officeDocument/2006/relationships/hyperlink" Id="rId71" Target="https://doi.org/10.1161/circulationaha.118.038092" TargetMode="External" /><Relationship Type="http://schemas.openxmlformats.org/officeDocument/2006/relationships/hyperlink" Id="rId79" Target="https://doi.org/10.1186/1471-2407-14-286" TargetMode="External" /><Relationship Type="http://schemas.openxmlformats.org/officeDocument/2006/relationships/hyperlink" Id="rId64" Target="https://doi.org/10.1186/s40659-017-0140-9" TargetMode="External" /><Relationship Type="http://schemas.openxmlformats.org/officeDocument/2006/relationships/hyperlink" Id="rId75" Target="https://doi.org/10.1258/ar.2011.100357" TargetMode="External" /><Relationship Type="http://schemas.openxmlformats.org/officeDocument/2006/relationships/hyperlink" Id="rId44" Target="https://doi.org/10.1259/bjr.20160594" TargetMode="External" /><Relationship Type="http://schemas.openxmlformats.org/officeDocument/2006/relationships/hyperlink" Id="rId77" Target="https://doi.org/10.2214/ajr.159.3.1323923" TargetMode="External" /><Relationship Type="http://schemas.openxmlformats.org/officeDocument/2006/relationships/hyperlink" Id="rId61" Target="https://doi.org/10.3322/caac.21492" TargetMode="External" /><Relationship Type="http://schemas.openxmlformats.org/officeDocument/2006/relationships/hyperlink" Id="rId59" Target="https://doi.org/10.3390/jpm11080703" TargetMode="External" /><Relationship Type="http://schemas.openxmlformats.org/officeDocument/2006/relationships/hyperlink" Id="rId54" Target="https://doi.org/10.3390/jpm11090875" TargetMode="External" /><Relationship Type="http://schemas.openxmlformats.org/officeDocument/2006/relationships/hyperlink" Id="rId20" Target="mailto:anna.garanina.90@mail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doi.org/10.1016/j.diii.2013.12.011" TargetMode="External" /><Relationship Type="http://schemas.openxmlformats.org/officeDocument/2006/relationships/hyperlink" Id="rId81" Target="https://doi.org/10.1016/j.matbio.2013.06.003" TargetMode="External" /><Relationship Type="http://schemas.openxmlformats.org/officeDocument/2006/relationships/hyperlink" Id="rId69" Target="https://doi.org/10.1016/j.semcancer.2019.10.024" TargetMode="External" /><Relationship Type="http://schemas.openxmlformats.org/officeDocument/2006/relationships/hyperlink" Id="rId46" Target="https://doi.org/10.1038/bjc.2011.583" TargetMode="External" /><Relationship Type="http://schemas.openxmlformats.org/officeDocument/2006/relationships/hyperlink" Id="rId52" Target="https://doi.org/10.1038/s41598-019-51186-w" TargetMode="External" /><Relationship Type="http://schemas.openxmlformats.org/officeDocument/2006/relationships/hyperlink" Id="rId50" Target="https://doi.org/10.1053/crad.1999.0220" TargetMode="External" /><Relationship Type="http://schemas.openxmlformats.org/officeDocument/2006/relationships/hyperlink" Id="rId73" Target="https://doi.org/10.1148/rg.2016150178" TargetMode="External" /><Relationship Type="http://schemas.openxmlformats.org/officeDocument/2006/relationships/hyperlink" Id="rId67" Target="https://doi.org/10.1158/0008-5472.can-12-2313" TargetMode="External" /><Relationship Type="http://schemas.openxmlformats.org/officeDocument/2006/relationships/hyperlink" Id="rId71" Target="https://doi.org/10.1161/circulationaha.118.038092" TargetMode="External" /><Relationship Type="http://schemas.openxmlformats.org/officeDocument/2006/relationships/hyperlink" Id="rId79" Target="https://doi.org/10.1186/1471-2407-14-286" TargetMode="External" /><Relationship Type="http://schemas.openxmlformats.org/officeDocument/2006/relationships/hyperlink" Id="rId64" Target="https://doi.org/10.1186/s40659-017-0140-9" TargetMode="External" /><Relationship Type="http://schemas.openxmlformats.org/officeDocument/2006/relationships/hyperlink" Id="rId75" Target="https://doi.org/10.1258/ar.2011.100357" TargetMode="External" /><Relationship Type="http://schemas.openxmlformats.org/officeDocument/2006/relationships/hyperlink" Id="rId44" Target="https://doi.org/10.1259/bjr.20160594" TargetMode="External" /><Relationship Type="http://schemas.openxmlformats.org/officeDocument/2006/relationships/hyperlink" Id="rId77" Target="https://doi.org/10.2214/ajr.159.3.1323923" TargetMode="External" /><Relationship Type="http://schemas.openxmlformats.org/officeDocument/2006/relationships/hyperlink" Id="rId61" Target="https://doi.org/10.3322/caac.21492" TargetMode="External" /><Relationship Type="http://schemas.openxmlformats.org/officeDocument/2006/relationships/hyperlink" Id="rId59" Target="https://doi.org/10.3390/jpm11080703" TargetMode="External" /><Relationship Type="http://schemas.openxmlformats.org/officeDocument/2006/relationships/hyperlink" Id="rId54" Target="https://doi.org/10.3390/jpm11090875" TargetMode="External" /><Relationship Type="http://schemas.openxmlformats.org/officeDocument/2006/relationships/hyperlink" Id="rId20" Target="mailto:anna.garanina.90@mail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Calc_abus_accur</dc:title>
  <dc:creator>AndreyPovaliy</dc:creator>
  <cp:keywords/>
  <dcterms:created xsi:type="dcterms:W3CDTF">2023-11-30T08:08:28Z</dcterms:created>
  <dcterms:modified xsi:type="dcterms:W3CDTF">2023-11-30T08:08:28Z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american-medical-association-brackets.csl</vt:lpwstr>
  </property>
  <property fmtid="{D5CDD505-2E9C-101B-9397-08002B2CF9AE}" pid="4" name="date">
    <vt:lpwstr>2023-11-28</vt:lpwstr>
  </property>
  <property fmtid="{D5CDD505-2E9C-101B-9397-08002B2CF9AE}" pid="5" name="editor_options">
    <vt:lpwstr/>
  </property>
  <property fmtid="{D5CDD505-2E9C-101B-9397-08002B2CF9AE}" pid="6" name="output">
    <vt:lpwstr>word_document</vt:lpwstr>
  </property>
</Properties>
</file>