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0.png" ContentType="image/png"/>
  <Override PartName="/word/media/rId26.png" ContentType="image/png"/>
  <Override PartName="/word/media/rId23.png" ContentType="image/png"/>
  <Override PartName="/word/media/rId47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Chapter6</w:t>
      </w:r>
    </w:p>
    <w:p>
      <w:pPr>
        <w:pStyle w:val="Author"/>
      </w:pPr>
      <w:r>
        <w:t xml:space="preserve">AndreyPovaliy</w:t>
      </w:r>
    </w:p>
    <w:p>
      <w:pPr>
        <w:pStyle w:val="Date"/>
      </w:pPr>
      <w:r>
        <w:t xml:space="preserve">2023-11-07</w:t>
      </w:r>
    </w:p>
    <w:bookmarkStart w:id="58" w:name="X6a2a4e77e2f3ec877d80bfe8ea61d62feba8444"/>
    <w:p>
      <w:pPr>
        <w:pStyle w:val="Heading1"/>
      </w:pPr>
      <w:r>
        <w:t xml:space="preserve">ГЛАВА 6. ОПРЕДЕЛНИЕ ИСПОЛЬЗОВАНИЯ ABUS В СТРУКТУРЕ РАННЕЙ ДИАГНОСТИКИ НОВОБРАЗОВАНИЙ МОЛОЧНОЙ ЖЕЛЕЗЫ</w:t>
      </w:r>
    </w:p>
    <w:p>
      <w:pPr>
        <w:pStyle w:val="FirstParagraph"/>
      </w:pPr>
      <w:r>
        <w:t xml:space="preserve">Определение места ABUS в структуре ранней диагности новобразований в молочной железе требовало решения следующих вопросов: 1) определение временной эффективности для увеличения количества пациентов на единицу времени и 2) поредление ниболее значимых факторов, которые указывают на то, что ожидается малая вероятность нахождения образования, требующего пункцию, чтобы переопределить маршуртизацию пациента по скрининг с использование ABUS.</w:t>
      </w:r>
      <w:r>
        <w:t xml:space="preserve"> </w:t>
      </w:r>
      <w:r>
        <w:t xml:space="preserve">Данное требоование продиктовано тем, что только УЗИ специалист может выполнить пункцию образования.</w:t>
      </w:r>
    </w:p>
    <w:bookmarkStart w:id="32" w:name="X1a4d986b0a8c4fc9b0505520b69cfd769837751"/>
    <w:p>
      <w:pPr>
        <w:pStyle w:val="Heading2"/>
      </w:pPr>
      <w:r>
        <w:t xml:space="preserve">6.1 Оценка метододов по временной характеристике и зависимость от специалиста</w:t>
      </w:r>
    </w:p>
    <w:p>
      <w:pPr>
        <w:pStyle w:val="FirstParagraph"/>
      </w:pPr>
      <w:r>
        <w:t xml:space="preserve">В настоящем исследовании было принято решение учесть фактор опытности специалиста, выполняющего УЗ исследование.</w:t>
      </w:r>
      <w:r>
        <w:t xml:space="preserve"> </w:t>
      </w:r>
      <w:r>
        <w:t xml:space="preserve">В исследовании участвовали 2 специалиста с опытом более 10 лет и специалист с опытом 3 года на момент настоящего исследования.</w:t>
      </w:r>
      <w:r>
        <w:t xml:space="preserve"> </w:t>
      </w:r>
      <w:r>
        <w:t xml:space="preserve">Более опытный специалист выполнил 1750 исследований из них 771 исследовний в выборке пациенток 40 лет и старше и 979 исследовний в выборке пациенток до 40 лет.</w:t>
      </w:r>
      <w:r>
        <w:t xml:space="preserve"> </w:t>
      </w:r>
      <w:r>
        <w:t xml:space="preserve">Специалист с опытом 3 года выполнил 1044 исследований из них 512 исследовний в выборке пациенток 40 лет и старше и 532 исследовний в выборке пациенток до 40 лет.</w:t>
      </w:r>
      <w:r>
        <w:t xml:space="preserve"> </w:t>
      </w:r>
      <w:r>
        <w:t xml:space="preserve">Медиана время выполнения УЗИ у опытного специалиста составил 30 [Q1-Q3: 24;33] мин, такая же была у специалиста с опытом 3 года составил 30 [Q1-Q3: 23;36] мин.</w:t>
      </w:r>
      <w:r>
        <w:t xml:space="preserve"> </w:t>
      </w:r>
      <w:r>
        <w:t xml:space="preserve">Разница между группами по времени выполнения составила p-уровень &lt;0.01.</w:t>
      </w:r>
      <w:r>
        <w:t xml:space="preserve"> </w:t>
      </w:r>
      <w:r>
        <w:t xml:space="preserve">Это свидетельствует о том, что менее опытный специалист может тратить больше времени на исследование (Рисунок 6.1).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6/GeneralUsTim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6.1.</w:t>
      </w:r>
      <w:r>
        <w:t xml:space="preserve"> </w:t>
      </w:r>
      <w:r>
        <w:t xml:space="preserve">Скорость выполнеия исследования разными специалистами</w:t>
      </w:r>
    </w:p>
    <w:p>
      <w:pPr>
        <w:pStyle w:val="BodyText"/>
      </w:pPr>
      <w:r>
        <w:t xml:space="preserve">Разница между группами по времени выполнения составила p-уровень = 0.46.</w:t>
      </w:r>
      <w:r>
        <w:t xml:space="preserve"> </w:t>
      </w:r>
      <w:r>
        <w:t xml:space="preserve">Полученный результат говорит о том, что различные группы не влияют на скорость выполнения протокола УЗИ у обоих специалистов (Рисунок 6.2 А,Б).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6/SnrUsTim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6/JunUsTim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6.2.</w:t>
      </w:r>
      <w:r>
        <w:t xml:space="preserve"> </w:t>
      </w:r>
      <w:r>
        <w:t xml:space="preserve">А - Распределение длительности выполнения исследования УЗИ по группами, исследования выполнял специалист с опытом более 10 лет, Б- Распределение длительности выполнения исследования УЗИ по группами, исследования выполнял специалист с опытом 3 года.</w:t>
      </w:r>
    </w:p>
    <w:p>
      <w:pPr>
        <w:pStyle w:val="BodyText"/>
      </w:pPr>
      <w:r>
        <w:t xml:space="preserve">Далее следует привести данные временных характеристик по изучаемым методам ранней диагностики ракак молочной железы.</w:t>
      </w:r>
      <w:r>
        <w:t xml:space="preserve"> </w:t>
      </w:r>
      <w:r>
        <w:t xml:space="preserve">Медиана время выполнения УЗИ по всей выборке составил 30 [Q1-Q3: 23;34] мин, однако медиана время выполнения ABUS по всей выборке составил 15 [Q1-Q3: 12;18] мин.</w:t>
      </w:r>
    </w:p>
    <w:p>
      <w:pPr>
        <w:pStyle w:val="BodyText"/>
      </w:pPr>
      <w:r>
        <w:t xml:space="preserve">Разница между группами по времени выполнения составила p-уровень &lt;0.01.</w:t>
      </w:r>
    </w:p>
    <w:p>
      <w:pPr>
        <w:pStyle w:val="BodyText"/>
      </w:pPr>
      <w:r>
        <w:t xml:space="preserve">Такая статистическая разница отражает очевидную разницу в скорости выполнения выполнения исследований отражены на рисуноке 6.3.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6/AbusUsTimeTim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6.3.</w:t>
      </w:r>
      <w:r>
        <w:t xml:space="preserve"> </w:t>
      </w:r>
      <w:r>
        <w:t xml:space="preserve">Разность скорости выполнения между методами</w:t>
      </w:r>
    </w:p>
    <w:p>
      <w:pPr>
        <w:pStyle w:val="BodyText"/>
      </w:pPr>
      <w:r>
        <w:t xml:space="preserve">Следует сказать, что выявленная разница по времени между методами, а так же зависимость УЗ исследования от специалиста показывает то, что система ABUS имеет конкурентные приемущества при ранней диагностике рака молочной железы по временной характеристике.</w:t>
      </w:r>
      <w:r>
        <w:t xml:space="preserve"> </w:t>
      </w:r>
      <w:r>
        <w:t xml:space="preserve">Однако стоит сказать, что при выполнии ABUS исследования нельзя выполнить пункцию для проведения гистологического исследования и требуется выполнение УЗИ исследования и проведения пункции под навигацией.</w:t>
      </w:r>
      <w:r>
        <w:t xml:space="preserve"> </w:t>
      </w:r>
      <w:r>
        <w:t xml:space="preserve">Следовательно ABUS исследование может позволить облегчить рутинизацию выполнения УЗИ исследования в тех случаях, где обнаружение образования, требующего пункцию маловероятно.</w:t>
      </w:r>
      <w:r>
        <w:t xml:space="preserve"> </w:t>
      </w:r>
      <w:r>
        <w:t xml:space="preserve">Для этого было выполнено определение наиболее значимых факторов для обоснования использования ABUS в рутинной практике.</w:t>
      </w:r>
    </w:p>
    <w:bookmarkEnd w:id="32"/>
    <w:bookmarkStart w:id="51" w:name="X2e7c3dc19fc0906355ccd33e6bb92b05fa898ff"/>
    <w:p>
      <w:pPr>
        <w:pStyle w:val="Heading2"/>
      </w:pPr>
      <w:r>
        <w:t xml:space="preserve">6.2 Определение наиболее значимых факторов и алгоритма оптимизации использования ABUS</w:t>
      </w:r>
    </w:p>
    <w:p>
      <w:pPr>
        <w:pStyle w:val="FirstParagraph"/>
      </w:pPr>
      <w:r>
        <w:t xml:space="preserve">Наиболее значимые факторы для определения вероятности нахождения рака молочной железы при скрининге разделяется на два этапа.</w:t>
      </w:r>
      <w:r>
        <w:t xml:space="preserve"> </w:t>
      </w:r>
      <w:r>
        <w:t xml:space="preserve">Первый этап состоит из преддиагностических факторов входящих в сбор анамнеза, жалоб и осмотра врача.</w:t>
      </w:r>
      <w:r>
        <w:t xml:space="preserve"> </w:t>
      </w:r>
      <w:r>
        <w:t xml:space="preserve">Второй этап более применим только к группе пациенток возрасте 40 лет и старше а именно данные заключения ММГ.</w:t>
      </w:r>
      <w:r>
        <w:t xml:space="preserve"> </w:t>
      </w:r>
      <w:r>
        <w:t xml:space="preserve">Для каждого этапа были составлены педикторные модели, целью которых было выявление наиболее значимых факторов указывающих на высокую вероятность нахождения образования для которого требуется проведение биопсии под навигацией.</w:t>
      </w:r>
      <w:r>
        <w:t xml:space="preserve"> </w:t>
      </w:r>
      <w:r>
        <w:t xml:space="preserve">Это необходимо в первую очередь для определения маршрутизации пациентов, а именно для пациентов у которых такая вероятность невысокая, то эти пациенты направляются для скрининга систем ABUS.</w:t>
      </w:r>
    </w:p>
    <w:bookmarkStart w:id="39" w:name="X31f499c99277cd73cd7b27fcc0f898d28c1ca51"/>
    <w:p>
      <w:pPr>
        <w:pStyle w:val="Heading3"/>
      </w:pPr>
      <w:r>
        <w:t xml:space="preserve">6.2.1 Оценка преддиагностических факторов в выборке пациенток до 40 лет</w:t>
      </w:r>
    </w:p>
    <w:p>
      <w:pPr>
        <w:pStyle w:val="FirstParagraph"/>
      </w:pPr>
      <w:r>
        <w:t xml:space="preserve">Для определения наиболее значимых преддиагностических факторов производился подбор предиктороной модели с наиболее значимыми факторам.</w:t>
      </w:r>
      <w:r>
        <w:t xml:space="preserve"> </w:t>
      </w:r>
      <w:r>
        <w:t xml:space="preserve">В выборке пациенток до 40 лет была получена формула Y ~ 0.05* (возраст пациента) + 1.82*(Первичный диагноз:Диффузный фиброаденоматоз) + 1.6*(Репродуктивный статус: пременопауза)+ 0.86*(Жалоба на уплотнение)+ 4.36*(Cимптом ретракции)+ 2.92*(Наследственная предрасположенность).</w:t>
      </w:r>
    </w:p>
    <w:p>
      <w:pPr>
        <w:pStyle w:val="BodyText"/>
      </w:pPr>
      <w:r>
        <w:t xml:space="preserve">Были расчитаны предикторные коэфициенты на основании пердставленной модели и построек график ROC- кривой качества модели (Рисунок 6.4).</w:t>
      </w:r>
      <w:r>
        <w:t xml:space="preserve"> </w:t>
      </w:r>
      <w:r>
        <w:t xml:space="preserve">Площадь под кривой составила 0.9991 Также были расчитаны показатели точности, специфичности и чувствительности модели с определением коэфициента отсечения (Рисунок 6.5).</w:t>
      </w:r>
      <w:r>
        <w:t xml:space="preserve"> </w:t>
      </w:r>
      <w:r>
        <w:t xml:space="preserve">в представленной модели коэфициент отсечения был 0.918 По высчитанному коэфициенту отсечиния был составлен прогноз рекомендаций к скринингу</w:t>
      </w:r>
    </w:p>
    <w:p>
      <w:pPr>
        <w:pStyle w:val="BodyText"/>
      </w:pPr>
      <w:r>
        <w:drawing>
          <wp:inline>
            <wp:extent cx="5334000" cy="362578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6/plotpreDiagJu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5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6.4.</w:t>
      </w:r>
      <w:r>
        <w:t xml:space="preserve"> </w:t>
      </w:r>
      <w:r>
        <w:t xml:space="preserve">ROC- кривая предикторной модели опредления показаний к ABUS для скрининга у пациенток в выборке до 40 лет</w:t>
      </w:r>
    </w:p>
    <w:p>
      <w:pPr>
        <w:pStyle w:val="BodyText"/>
      </w:pPr>
      <w:r>
        <w:drawing>
          <wp:inline>
            <wp:extent cx="5334000" cy="3625784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6/plotpreDiagJunСutoff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5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6.5.</w:t>
      </w:r>
      <w:r>
        <w:t xml:space="preserve"> </w:t>
      </w:r>
      <w:r>
        <w:t xml:space="preserve">Показатели точности, специфичности и чувствительности модели с определением коэфициента отсечения в выборке до 40 лет</w:t>
      </w:r>
    </w:p>
    <w:p>
      <w:pPr>
        <w:pStyle w:val="BodyText"/>
      </w:pPr>
      <w:r>
        <w:t xml:space="preserve">На основании данных, полученных в нашем исследовании скрининг с ABUS в выборке до 40 лет не показан в 4.04% (61/1511случаев)[95% ДИ 0.03;0.05] и в 95.96% (1450/1511случаев)[95% ДИ 0.95;0.97] его можно использовать.</w:t>
      </w:r>
    </w:p>
    <w:p>
      <w:pPr>
        <w:pStyle w:val="BodyText"/>
      </w:pPr>
      <w:r>
        <w:t xml:space="preserve">Представленная модель в выборке до 40 лет сработала корректно в 99.21% (1499/1511случаев)[95% ДИ 0.99;1] и в 0.79% (12/1511случаев)[95% ДИ 0;0.01] предсказание можно отнести к невернному, а именно ложноположительные результаты.</w:t>
      </w:r>
    </w:p>
    <w:bookmarkEnd w:id="39"/>
    <w:bookmarkStart w:id="46" w:name="X34bc9f22c74684f65aefa8e96787907cff31b7f"/>
    <w:p>
      <w:pPr>
        <w:pStyle w:val="Heading3"/>
      </w:pPr>
      <w:r>
        <w:t xml:space="preserve">6.2.2 Оценка преддиагностических факторов и факторов ММГ в выборке пациенток 40 лет и старше</w:t>
      </w:r>
    </w:p>
    <w:p>
      <w:pPr>
        <w:pStyle w:val="FirstParagraph"/>
      </w:pPr>
      <w:r>
        <w:t xml:space="preserve">Для определения наиболее значимых преддиагностических факторов производился подбор предиктороной модели с наиболее значимыми факторам.</w:t>
      </w:r>
      <w:r>
        <w:t xml:space="preserve"> </w:t>
      </w:r>
      <w:r>
        <w:t xml:space="preserve">В выборке пациенток 40 лет и старше была получена формула Y ~ 0.05* (возраст пациента) + 2.27*(Первичный диагноз:Листовидная опухоль)+ 3.17*(Первичный диагноз:Локализованный фиброаденоматоз) + 1.25*(Репродуктивный статус: менопауза более 5 лет) + 3.01*(Жалоба на уплотнение) + 1.77*(Cимптом ретракции)+ 1.75*(Наследственная предрасположенность)+ 1.19*(Наличие гормональной терапии)+ 2.18*(Фон на ММГ: железистая ткань)+ 2.25*(Характеристика узла на ММГ: фокус упролнения)+ 5.02*(Края образования на ММГ: нечеткие).</w:t>
      </w:r>
    </w:p>
    <w:p>
      <w:pPr>
        <w:pStyle w:val="BodyText"/>
      </w:pPr>
      <w:r>
        <w:t xml:space="preserve">Были расчитаны предикторные коэфициенты на основании пердставленной модели и построек график ROC- кривой качества модели (Рисунок 6.4).</w:t>
      </w:r>
      <w:r>
        <w:t xml:space="preserve"> </w:t>
      </w:r>
      <w:r>
        <w:t xml:space="preserve">Площадь под кривой составила 0.9983 Также были расчитаны показатели точности, специфичности и чувствительности модели с определением коэфициента отсечения (Рисунок 6.5).</w:t>
      </w:r>
      <w:r>
        <w:t xml:space="preserve"> </w:t>
      </w:r>
      <w:r>
        <w:t xml:space="preserve">в представленной модели коэфициент отсечения был 0.935 По высчитанному коэфициенту отсечиния был составлен прогноз рекомендаций к скринингу</w:t>
      </w:r>
    </w:p>
    <w:p>
      <w:pPr>
        <w:pStyle w:val="BodyText"/>
      </w:pPr>
      <w:r>
        <w:drawing>
          <wp:inline>
            <wp:extent cx="5334000" cy="3625784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6/plotpreDiagSn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5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6.4.</w:t>
      </w:r>
      <w:r>
        <w:t xml:space="preserve"> </w:t>
      </w:r>
      <w:r>
        <w:t xml:space="preserve">ROC- кривая предикторной модели опредления показаний к ABUS для скрининга у пациенток в выборке 40 лет и старше</w:t>
      </w:r>
    </w:p>
    <w:p>
      <w:pPr>
        <w:pStyle w:val="BodyText"/>
      </w:pPr>
      <w:r>
        <w:drawing>
          <wp:inline>
            <wp:extent cx="5334000" cy="362578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s6/plotpreDiagSnrСutoff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5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6.5.</w:t>
      </w:r>
      <w:r>
        <w:t xml:space="preserve"> </w:t>
      </w:r>
      <w:r>
        <w:t xml:space="preserve">Показатели точности, специфичности и чувствительности модели с определением коэфициента отсечения в выборке 40 лет и старше</w:t>
      </w:r>
    </w:p>
    <w:p>
      <w:pPr>
        <w:pStyle w:val="BodyText"/>
      </w:pPr>
      <w:r>
        <w:t xml:space="preserve">На основании данных, полученных в нашем исследовании скрининг с ABUS в выборке 40 лет и старше не показан в 15.74% (202/1283случаев)[95% ДИ 0.14;0.18], в 84.26% (1081/1283случаев)[95% ДИ 0.82;0.86].</w:t>
      </w:r>
    </w:p>
    <w:p>
      <w:pPr>
        <w:pStyle w:val="BodyText"/>
      </w:pPr>
      <w:r>
        <w:t xml:space="preserve">Представленная модель в выборке 40 лет и старше сработала корректно в 97.12% (1246/1283случаев)[95% ДИ 0.96;0.98] и в 2.88% (37/1283случаев)[95% ДИ 0.02;0.04] нет. Среди 37 случаев неверного предсказания было 4 случая ложноотрицательных результата и эти пациенты буду направлены на повтоное исследование к специалисту УЗИ для проведения трепанбиопсии. 33 случая квалифициорованы как ложноположительные.</w:t>
      </w:r>
    </w:p>
    <w:bookmarkEnd w:id="46"/>
    <w:bookmarkStart w:id="50" w:name="алгоритм-оптимизации-использования-abus"/>
    <w:p>
      <w:pPr>
        <w:pStyle w:val="Heading3"/>
      </w:pPr>
      <w:r>
        <w:t xml:space="preserve">6.2.3 Алгоритм оптимизации использования ABUS</w:t>
      </w:r>
    </w:p>
    <w:p>
      <w:pPr>
        <w:pStyle w:val="FirstParagraph"/>
      </w:pPr>
      <w:r>
        <w:t xml:space="preserve">Исходя из данных, описанных в литературе</w:t>
      </w:r>
      <w:r>
        <w:t xml:space="preserve"> </w:t>
      </w:r>
      <w:r>
        <w:t xml:space="preserve">(Xin et al. 2021)</w:t>
      </w:r>
      <w:r>
        <w:t xml:space="preserve">, а также данных полученных в настоящем исследовании предлагается следующий алгоритм оптимизации использования системы ABUS.</w:t>
      </w:r>
    </w:p>
    <w:p>
      <w:pPr>
        <w:pStyle w:val="BodyText"/>
      </w:pPr>
      <w:r>
        <w:t xml:space="preserve">Пациенты, прришедшие на первичный осмотр по жалобам или по скринингу подписывают согласие на исследование.</w:t>
      </w:r>
      <w:r>
        <w:t xml:space="preserve"> </w:t>
      </w:r>
      <w:r>
        <w:t xml:space="preserve">Далее пациентки машуртизируются по возрасту до 40 лет и 40 лет, так как маммография остается золотым стандартом скрининга рака молочной железы, но маммография имеет меньшую чувствительность при выявлении рака молочной железы у женщин с плотной грудью, особенно если речь идет о пациентках до 40 лет</w:t>
      </w:r>
      <w:r>
        <w:t xml:space="preserve"> </w:t>
      </w:r>
      <w:r>
        <w:t xml:space="preserve">(Nazari and Mukherjee 2018)</w:t>
      </w:r>
      <w:r>
        <w:t xml:space="preserve">.</w:t>
      </w:r>
    </w:p>
    <w:p>
      <w:pPr>
        <w:pStyle w:val="BodyText"/>
      </w:pPr>
      <w:r>
        <w:t xml:space="preserve">В выборке пациенток до 40 лет, если не выявлены следующие предикторные факторы: Репродуктивный статус: пременопауза, Жалоба на уплотнение, Симптом ретракции, Наследственная предрасположенность к раку МЖ, то пациентка может быть направлена на иследование ABUS, при обнаружении указанных предикторных факторов пациентку рекомендовано направить на УЗИ исследование.</w:t>
      </w:r>
      <w:r>
        <w:t xml:space="preserve"> </w:t>
      </w:r>
      <w:r>
        <w:t xml:space="preserve">По результатам выставляется категория по классификации BIRADS, в зависмиости от которой проводят дальнейшие действия.</w:t>
      </w:r>
    </w:p>
    <w:p>
      <w:pPr>
        <w:pStyle w:val="BodyText"/>
      </w:pPr>
      <w:r>
        <w:t xml:space="preserve">В выборке пациенток 40 лет и старше выполняется первичный осмотр и ММГ и если не выявлены следующие предикторные факторы: Репродуктивный статус: менопауза более 5 лет, Жалоба на уплотнение, Cимптом ретракции, Наследственная предрасположенность, наличие гормональной терапии, Фон на ММГ: железистая ткань, Характеристика узла на ММГ: фокус упролнения, Края образования на ММГ: нечеткие, то пациентка может быть направлена на иследование ABUS, при обнаружении указанных предикторных факторов пациентку рекомендовано направить на УЗИ исследование.</w:t>
      </w:r>
      <w:r>
        <w:t xml:space="preserve"> </w:t>
      </w:r>
      <w:r>
        <w:t xml:space="preserve">По результатам выставляется категория по классификации BIRADS, в зависмиости от которой проводят дальнейшие действия.</w:t>
      </w:r>
    </w:p>
    <w:p>
      <w:pPr>
        <w:pStyle w:val="BodyText"/>
      </w:pPr>
      <w:r>
        <w:t xml:space="preserve">При поставленной категории BIRADS1 или BIRADS2 рекомендовано дальнейшее наблюдение.</w:t>
      </w:r>
    </w:p>
    <w:p>
      <w:pPr>
        <w:pStyle w:val="BodyText"/>
      </w:pPr>
      <w:r>
        <w:t xml:space="preserve">При поставленной категории BIRADS3 требуется дополнительное выполнение МРТ и постановка категории BIRADS.</w:t>
      </w:r>
      <w:r>
        <w:t xml:space="preserve"> </w:t>
      </w:r>
      <w:r>
        <w:t xml:space="preserve">При поставленной категории после выполнений МРТ BIRADS1, BIRADS2 или BIRADS3 рекомендовано дальнейшее наблюдение.</w:t>
      </w:r>
    </w:p>
    <w:p>
      <w:pPr>
        <w:pStyle w:val="BodyText"/>
      </w:pPr>
      <w:r>
        <w:t xml:space="preserve">При поставленной категории BIRADS4 или BIRADS5 рекомендуется проведение трепан биопсии под УЗ-наведением или стереотаксическим наведением с последующей морфологической и при необходимости иммуногистохимической верификацией.</w:t>
      </w:r>
    </w:p>
    <w:p>
      <w:pPr>
        <w:pStyle w:val="BodyText"/>
      </w:pPr>
      <w:r>
        <w:drawing>
          <wp:inline>
            <wp:extent cx="5334000" cy="338983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s6/diagram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6.5.</w:t>
      </w:r>
      <w:r>
        <w:t xml:space="preserve"> </w:t>
      </w:r>
      <w:r>
        <w:t xml:space="preserve">Оптимизированный алгоритм с учетом использования ABUS</w:t>
      </w:r>
    </w:p>
    <w:bookmarkEnd w:id="50"/>
    <w:bookmarkEnd w:id="51"/>
    <w:bookmarkStart w:id="57" w:name="анализ-полученных-результатов"/>
    <w:p>
      <w:pPr>
        <w:pStyle w:val="Heading2"/>
      </w:pPr>
      <w:r>
        <w:t xml:space="preserve">6.3 Анализ полученных результатов</w:t>
      </w:r>
    </w:p>
    <w:p>
      <w:pPr>
        <w:pStyle w:val="FirstParagraph"/>
      </w:pPr>
      <w:r>
        <w:t xml:space="preserve">В настоящей главе представлены результаты, завершающие текущее исследование. Было проведен сравнительный анализ временных характеристик в зависимости от специалиста, а также между изучаемыми методами. Подтверждены ожидаемы результаты от том, метод УЗИ зависит от специалиста и вне зависимости от опыта специалиста выполнение диагностики на ABUS быстрее. Однако перед исследователями стояла задача определить место системы ABUS в существующей системе скриненг ранней диагностики новообразований молочной железы с целью выявления злокачественного новообразования. Был проведен многофакториальный анализ по которым можно предположить, что ожидается определение категории BIRADS4 или BIRADS5 после проведения УЗ-диагностики. Эти категории пациентов необходимо направлять у специалисту УЗИ, так как предполагается проведение трепан биопсии под УЗ-наведением или стереотаксическим наведением с последующей морфологической и при необходимости иммуногистохимической верификацией. На основании логистической регресси, основанных на преддиагностических данных, а именно данные жалоб, анамнеза, осмотра и результатов ММГ. ТАкие факторы были выявлены для категории пациенток до 40 лет и 40 лет и сташе. Потенциальным преимуществом предлагаемого рекомендательного алгоритва является то, то можно поток пациенток с предполагаемой низкой веротностью того, что будет требоваться биопсия напрвлять на исследование ABUS. Такой подход может снизить нагрузку на врачей УЗ-диагностки и сконцентрировать их внимание на фокусной группе предполагаемо требующих внимание специалиста. Учитывая выявленный временной фактор, то можно провести больше исследований на единицу времени.</w:t>
      </w:r>
      <w:r>
        <w:t xml:space="preserve"> </w:t>
      </w:r>
      <w:r>
        <w:t xml:space="preserve">Результаты, изложенные в настоящей главе свидетельствую о решении шестой и завершающей задачи диссертационного исследования. Можно с уверенностью сказать, что ABUS не уступает по своим возможностям традиционному методу УЗИ в ранеей диагностике новообразований молочной железы как у пациенток до 40 лет, так у пациенток 40 лет и старше. Метод диагностики ABUS является не замещающим, а дополнящим традиционную УЗИ диагностику в структуре ранней диагностики.</w:t>
      </w:r>
    </w:p>
    <w:bookmarkStart w:id="56" w:name="refs"/>
    <w:bookmarkStart w:id="53" w:name="ref-nazari2018"/>
    <w:p>
      <w:pPr>
        <w:pStyle w:val="Bibliography"/>
      </w:pPr>
      <w:r>
        <w:t xml:space="preserve">Nazari, Shayan Shaghayeq, and Pinku Mukherjee. 2018.</w:t>
      </w:r>
      <w:r>
        <w:t xml:space="preserve"> </w:t>
      </w:r>
      <w:r>
        <w:t xml:space="preserve">“An Overview of Mammographic Density and Its Association with Breast Cancer.”</w:t>
      </w:r>
      <w:r>
        <w:t xml:space="preserve"> </w:t>
      </w:r>
      <w:r>
        <w:rPr>
          <w:iCs/>
          <w:i/>
        </w:rPr>
        <w:t xml:space="preserve">Breast Cancer</w:t>
      </w:r>
      <w:r>
        <w:t xml:space="preserve"> </w:t>
      </w:r>
      <w:r>
        <w:t xml:space="preserve">25 (3): 259–67.</w:t>
      </w:r>
      <w:r>
        <w:t xml:space="preserve"> </w:t>
      </w:r>
      <w:hyperlink r:id="rId52">
        <w:r>
          <w:rPr>
            <w:rStyle w:val="Hyperlink"/>
          </w:rPr>
          <w:t xml:space="preserve">https://doi.org/10.1007/s12282-018-0857-5</w:t>
        </w:r>
      </w:hyperlink>
      <w:r>
        <w:t xml:space="preserve">.</w:t>
      </w:r>
    </w:p>
    <w:bookmarkEnd w:id="53"/>
    <w:bookmarkStart w:id="55" w:name="ref-xin2021"/>
    <w:p>
      <w:pPr>
        <w:pStyle w:val="Bibliography"/>
      </w:pPr>
      <w:r>
        <w:t xml:space="preserve">Xin, Yujing, Xinyuan Zhang, Yi Yang, Yi Chen, Yanan Wang, Xiang Zhou, and Youlin Qiao. 2021.</w:t>
      </w:r>
      <w:r>
        <w:t xml:space="preserve"> </w:t>
      </w:r>
      <w:r>
        <w:t xml:space="preserve">“A Multicenter, Hospital-Based and Non-Inferiority Study for Diagnostic Efficacy of Automated Whole Breast Ultrasound for Breast Cancer in China.”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 </w:t>
      </w:r>
      <w:r>
        <w:t xml:space="preserve">11 (1).</w:t>
      </w:r>
      <w:r>
        <w:t xml:space="preserve"> </w:t>
      </w:r>
      <w:hyperlink r:id="rId54">
        <w:r>
          <w:rPr>
            <w:rStyle w:val="Hyperlink"/>
          </w:rPr>
          <w:t xml:space="preserve">https://doi.org/10.1038/s41598-021-93350-1</w:t>
        </w:r>
      </w:hyperlink>
      <w:r>
        <w:t xml:space="preserve">.</w:t>
      </w:r>
    </w:p>
    <w:bookmarkEnd w:id="55"/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hyperlink" Id="rId52" Target="https://doi.org/10.1007/s12282-018-0857-5" TargetMode="External" /><Relationship Type="http://schemas.openxmlformats.org/officeDocument/2006/relationships/hyperlink" Id="rId54" Target="https://doi.org/10.1038/s41598-021-93350-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doi.org/10.1007/s12282-018-0857-5" TargetMode="External" /><Relationship Type="http://schemas.openxmlformats.org/officeDocument/2006/relationships/hyperlink" Id="rId54" Target="https://doi.org/10.1038/s41598-021-93350-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Chapter6</dc:title>
  <dc:creator>AndreyPovaliy</dc:creator>
  <cp:keywords/>
  <dcterms:created xsi:type="dcterms:W3CDTF">2023-11-08T07:51:01Z</dcterms:created>
  <dcterms:modified xsi:type="dcterms:W3CDTF">2023-11-08T07:51:01Z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2023-11-07</vt:lpwstr>
  </property>
  <property fmtid="{D5CDD505-2E9C-101B-9397-08002B2CF9AE}" pid="4" name="editor_options">
    <vt:lpwstr/>
  </property>
  <property fmtid="{D5CDD505-2E9C-101B-9397-08002B2CF9AE}" pid="5" name="output">
    <vt:lpwstr>word_document</vt:lpwstr>
  </property>
</Properties>
</file>