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33.png" ContentType="image/png"/>
  <Override PartName="/word/media/rId36.png" ContentType="image/png"/>
  <Override PartName="/word/media/rId4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Jun_Accur_3</w:t>
      </w:r>
    </w:p>
    <w:p>
      <w:pPr>
        <w:pStyle w:val="Author"/>
      </w:pPr>
      <w:r>
        <w:t xml:space="preserve">Andrey</w:t>
      </w:r>
      <w:r>
        <w:t xml:space="preserve"> </w:t>
      </w:r>
      <w:r>
        <w:t xml:space="preserve">Povaliy</w:t>
      </w:r>
    </w:p>
    <w:p>
      <w:pPr>
        <w:pStyle w:val="Date"/>
      </w:pPr>
      <w:r>
        <w:t xml:space="preserve">2023-09-04</w:t>
      </w:r>
    </w:p>
    <w:bookmarkStart w:id="90" w:name="X4ff783b4f5a03b09ea5a1c4b02360d5fe44aafe"/>
    <w:p>
      <w:pPr>
        <w:pStyle w:val="Heading1"/>
      </w:pPr>
      <w:r>
        <w:t xml:space="preserve">Диагностическая эффективность автоматизированного УЗИ всей молочной железы при раке молочной железы у пациенток до 40 лет.</w:t>
      </w:r>
    </w:p>
    <w:bookmarkStart w:id="24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Рак молочной железы является наиболее распространенным раком среди</w:t>
      </w:r>
      <w:r>
        <w:t xml:space="preserve"> </w:t>
      </w:r>
      <w:r>
        <w:t xml:space="preserve">женщин во всем мире</w:t>
      </w:r>
      <w:r>
        <w:t xml:space="preserve"> </w:t>
      </w:r>
      <w:r>
        <w:t xml:space="preserve">[2]</w:t>
      </w:r>
      <w:r>
        <w:t xml:space="preserve">. В США у одной</w:t>
      </w:r>
      <w:r>
        <w:t xml:space="preserve"> </w:t>
      </w:r>
      <w:r>
        <w:t xml:space="preserve">из 196 женщин диагностируется рак молочной железы в возрасте до 40 лет.</w:t>
      </w:r>
      <w:r>
        <w:t xml:space="preserve"> </w:t>
      </w:r>
      <w:r>
        <w:t xml:space="preserve">В западной литературе принято использовать термин Подростки и молодые</w:t>
      </w:r>
      <w:r>
        <w:t xml:space="preserve"> </w:t>
      </w:r>
      <w:r>
        <w:t xml:space="preserve">женщины (ПиМЖ</w:t>
      </w:r>
      <w:r>
        <w:rPr>
          <w:rStyle w:val="FootnoteReference"/>
        </w:rPr>
        <w:footnoteReference w:id="20"/>
      </w:r>
      <w:r>
        <w:t xml:space="preserve">), то есть пациентки в возрасте 15–39 лет</w:t>
      </w:r>
      <w:r>
        <w:t xml:space="preserve"> </w:t>
      </w:r>
      <w:r>
        <w:t xml:space="preserve">[3]</w:t>
      </w:r>
      <w:r>
        <w:t xml:space="preserve">. ПиМЖ чаще, чем женщины старшего возраста, имеют</w:t>
      </w:r>
      <w:r>
        <w:t xml:space="preserve"> </w:t>
      </w:r>
      <w:r>
        <w:t xml:space="preserve">агрессивные подтипы и позднюю стадию заболевания, и при постановке</w:t>
      </w:r>
      <w:r>
        <w:t xml:space="preserve"> </w:t>
      </w:r>
      <w:r>
        <w:t xml:space="preserve">диагноза они часто требуют системного определения стадии</w:t>
      </w:r>
      <w:r>
        <w:t xml:space="preserve"> </w:t>
      </w:r>
      <w:r>
        <w:t xml:space="preserve">[3]</w:t>
      </w:r>
      <w:r>
        <w:t xml:space="preserve">. Риск смерти от рака молочной железы увеличивается</w:t>
      </w:r>
      <w:r>
        <w:t xml:space="preserve"> </w:t>
      </w:r>
      <w:r>
        <w:t xml:space="preserve">на 5% на каждый год снижения возраста на момент постановки диагноза, что</w:t>
      </w:r>
      <w:r>
        <w:t xml:space="preserve"> </w:t>
      </w:r>
      <w:r>
        <w:t xml:space="preserve">отражает более агрессивные фенотипы, чем рак молочной железы,</w:t>
      </w:r>
      <w:r>
        <w:t xml:space="preserve"> </w:t>
      </w:r>
      <w:r>
        <w:t xml:space="preserve">возникающий в более позднем возрасте</w:t>
      </w:r>
      <w:r>
        <w:t xml:space="preserve"> </w:t>
      </w:r>
      <w:r>
        <w:t xml:space="preserve">[4]</w:t>
      </w:r>
      <w:r>
        <w:t xml:space="preserve">. Поскольку рак</w:t>
      </w:r>
      <w:r>
        <w:t xml:space="preserve"> </w:t>
      </w:r>
      <w:r>
        <w:t xml:space="preserve">молочной железы среди молодых женщин коррелирует с плохой выживаемостью</w:t>
      </w:r>
      <w:r>
        <w:t xml:space="preserve"> </w:t>
      </w:r>
      <w:r>
        <w:t xml:space="preserve">[4]</w:t>
      </w:r>
      <w:r>
        <w:t xml:space="preserve">, раннее выявление потенциально может улучшить</w:t>
      </w:r>
      <w:r>
        <w:t xml:space="preserve"> </w:t>
      </w:r>
      <w:r>
        <w:t xml:space="preserve">выживаемость, менее инвазивное лечение и более высокое качество жизни,</w:t>
      </w:r>
      <w:r>
        <w:t xml:space="preserve"> </w:t>
      </w:r>
      <w:r>
        <w:t xml:space="preserve">тем самым снижая бремя болезни и затраты на лечение. Однако к вопросам</w:t>
      </w:r>
      <w:r>
        <w:t xml:space="preserve"> </w:t>
      </w:r>
      <w:r>
        <w:t xml:space="preserve">скрининка у ПиМЖ нужно относиться осторожно. Маммография остается</w:t>
      </w:r>
      <w:r>
        <w:t xml:space="preserve"> </w:t>
      </w:r>
      <w:r>
        <w:t xml:space="preserve">золотым стандартом скрининга рака молочной железы. Однако маммография</w:t>
      </w:r>
      <w:r>
        <w:t xml:space="preserve"> </w:t>
      </w:r>
      <w:r>
        <w:t xml:space="preserve">имеет меньшая чувствительность при выявлении рака молочной железы у</w:t>
      </w:r>
      <w:r>
        <w:t xml:space="preserve"> </w:t>
      </w:r>
      <w:r>
        <w:t xml:space="preserve">женщин с плотной грудью, особенно если речь идет о ПиМЖ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Согласно исследованиям, скрининг с помощью ручного ултразвукового</w:t>
      </w:r>
      <w:r>
        <w:t xml:space="preserve"> </w:t>
      </w:r>
      <w:r>
        <w:t xml:space="preserve">исследования (УЗИ</w:t>
      </w:r>
      <w:r>
        <w:rPr>
          <w:rStyle w:val="FootnoteReference"/>
        </w:rPr>
        <w:footnoteReference w:id="21"/>
      </w:r>
      <w:r>
        <w:t xml:space="preserve">) в дополнение к маммографии у женщин с плотной</w:t>
      </w:r>
      <w:r>
        <w:t xml:space="preserve"> </w:t>
      </w:r>
      <w:r>
        <w:t xml:space="preserve">грудью продемонстрировал увеличение показателей выявления рака молочной</w:t>
      </w:r>
      <w:r>
        <w:t xml:space="preserve"> </w:t>
      </w:r>
      <w:r>
        <w:t xml:space="preserve">железы, которые варьировались от 1,8 до 4,6 случаев рака на 1000</w:t>
      </w:r>
      <w:r>
        <w:t xml:space="preserve"> </w:t>
      </w:r>
      <w:r>
        <w:t xml:space="preserve">обследованных женщин, в зависимости от стратификации населения по риску</w:t>
      </w:r>
      <w:r>
        <w:t xml:space="preserve"> </w:t>
      </w:r>
      <w:r>
        <w:t xml:space="preserve">[5,6]</w:t>
      </w:r>
      <w:r>
        <w:t xml:space="preserve">. Однако исследования программ скрининга в</w:t>
      </w:r>
      <w:r>
        <w:t xml:space="preserve"> </w:t>
      </w:r>
      <w:r>
        <w:t xml:space="preserve">Дании у ПиМЖ</w:t>
      </w:r>
      <w:r>
        <w:t xml:space="preserve"> </w:t>
      </w:r>
      <w:r>
        <w:t xml:space="preserve">[7]</w:t>
      </w:r>
      <w:r>
        <w:t xml:space="preserve"> </w:t>
      </w:r>
      <w:r>
        <w:t xml:space="preserve">с включением маммографии (ММГ</w:t>
      </w:r>
      <w:r>
        <w:rPr>
          <w:rStyle w:val="FootnoteReference"/>
        </w:rPr>
        <w:footnoteReference w:id="22"/>
      </w:r>
      <w:r>
        <w:t xml:space="preserve">)</w:t>
      </w:r>
      <w:r>
        <w:t xml:space="preserve"> </w:t>
      </w:r>
      <w:r>
        <w:t xml:space="preserve">показали снижение смертности, объясняется это изменениями факторов риска</w:t>
      </w:r>
      <w:r>
        <w:t xml:space="preserve"> </w:t>
      </w:r>
      <w:r>
        <w:t xml:space="preserve">и улучшением лечения, а не скрининговой ММГ. Однако УЗИ имеет</w:t>
      </w:r>
      <w:r>
        <w:t xml:space="preserve"> </w:t>
      </w:r>
      <w:r>
        <w:t xml:space="preserve">ограничения, а имеено отсутствие стандартизации метода, требуемый</w:t>
      </w:r>
      <w:r>
        <w:t xml:space="preserve"> </w:t>
      </w:r>
      <w:r>
        <w:t xml:space="preserve">высокий уровень навыков и опыта, затраты времени</w:t>
      </w:r>
      <w:r>
        <w:t xml:space="preserve"> </w:t>
      </w:r>
      <w:r>
        <w:t xml:space="preserve">[8]</w:t>
      </w:r>
      <w:r>
        <w:t xml:space="preserve">. Поэтому</w:t>
      </w:r>
      <w:r>
        <w:t xml:space="preserve"> </w:t>
      </w:r>
      <w:r>
        <w:t xml:space="preserve">для скрининга рака молочной железы было разработано новое поколение</w:t>
      </w:r>
      <w:r>
        <w:t xml:space="preserve"> </w:t>
      </w:r>
      <w:r>
        <w:t xml:space="preserve">автоматизированного объемного сканирования молочных желез (ABUS</w:t>
      </w:r>
      <w:r>
        <w:rPr>
          <w:rStyle w:val="FootnoteReference"/>
        </w:rPr>
        <w:footnoteReference w:id="23"/>
      </w:r>
      <w:r>
        <w:t xml:space="preserve">).</w:t>
      </w:r>
      <w:r>
        <w:t xml:space="preserve"> </w:t>
      </w:r>
      <w:r>
        <w:t xml:space="preserve">Новое поколение ABUS предлагает автоматическое сканирование молочной</w:t>
      </w:r>
      <w:r>
        <w:t xml:space="preserve"> </w:t>
      </w:r>
      <w:r>
        <w:t xml:space="preserve">железы с помощью датчика с большим полем обзора, позволяющего получать</w:t>
      </w:r>
      <w:r>
        <w:t xml:space="preserve"> </w:t>
      </w:r>
      <w:r>
        <w:t xml:space="preserve">изображения с высоким разрешением. Между тем, форма зонда специально</w:t>
      </w:r>
      <w:r>
        <w:t xml:space="preserve"> </w:t>
      </w:r>
      <w:r>
        <w:t xml:space="preserve">разработана с учетом нормальной кривизны молочной железы, сводя к</w:t>
      </w:r>
      <w:r>
        <w:t xml:space="preserve"> </w:t>
      </w:r>
      <w:r>
        <w:t xml:space="preserve">минимуму индуцированные артефакты на периферии</w:t>
      </w:r>
      <w:r>
        <w:t xml:space="preserve"> </w:t>
      </w:r>
      <w:r>
        <w:t xml:space="preserve">[9,10]</w:t>
      </w:r>
      <w:r>
        <w:t xml:space="preserve">. На сегодняшний день ABUS является потенциалом развития в</w:t>
      </w:r>
      <w:r>
        <w:t xml:space="preserve"> </w:t>
      </w:r>
      <w:r>
        <w:t xml:space="preserve">направлениии развития скрининга рака молочножелезы, в частности у ПиМЖ.</w:t>
      </w:r>
    </w:p>
    <w:bookmarkEnd w:id="24"/>
    <w:bookmarkStart w:id="25" w:name="цель-исследования"/>
    <w:p>
      <w:pPr>
        <w:pStyle w:val="Heading2"/>
      </w:pPr>
      <w:r>
        <w:t xml:space="preserve">Цель исследования</w:t>
      </w:r>
    </w:p>
    <w:p>
      <w:pPr>
        <w:pStyle w:val="FirstParagraph"/>
      </w:pPr>
      <w:r>
        <w:t xml:space="preserve">Провести сравнительный анализ диагностической эффективности</w:t>
      </w:r>
      <w:r>
        <w:t xml:space="preserve"> </w:t>
      </w:r>
      <w:r>
        <w:t xml:space="preserve">(чувствительности, специфичности и точности) УЗИ в B-режиме и</w:t>
      </w:r>
      <w:r>
        <w:t xml:space="preserve"> </w:t>
      </w:r>
      <w:r>
        <w:t xml:space="preserve">автоматизированного объемного сканирования молочных желез (ABUS), и</w:t>
      </w:r>
      <w:r>
        <w:t xml:space="preserve"> </w:t>
      </w:r>
      <w:r>
        <w:t xml:space="preserve">комбинации этих методик у женщин в возрастной группе до 39 лет с высокой</w:t>
      </w:r>
      <w:r>
        <w:t xml:space="preserve"> </w:t>
      </w:r>
      <w:r>
        <w:t xml:space="preserve">плотностью тканей молочной железы.</w:t>
      </w:r>
    </w:p>
    <w:bookmarkEnd w:id="25"/>
    <w:bookmarkStart w:id="29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Исследование можно характеризовать как клиническое исследование</w:t>
      </w:r>
      <w:r>
        <w:t xml:space="preserve"> </w:t>
      </w:r>
      <w:r>
        <w:t xml:space="preserve">диагностических аспектов раннней диагностики рака молочной</w:t>
      </w:r>
      <w:r>
        <w:t xml:space="preserve"> </w:t>
      </w:r>
      <w:r>
        <w:t xml:space="preserve">железы.Обектом исследования являются новобразования молочной железы,</w:t>
      </w:r>
      <w:r>
        <w:t xml:space="preserve"> </w:t>
      </w:r>
      <w:r>
        <w:t xml:space="preserve">регистрируемые при дигностике с использованием ручного ультразвукого</w:t>
      </w:r>
      <w:r>
        <w:t xml:space="preserve"> </w:t>
      </w:r>
      <w:r>
        <w:t xml:space="preserve">исследования (УЗИ), маммографии (ММГ) и автоматизированного объемного</w:t>
      </w:r>
      <w:r>
        <w:t xml:space="preserve"> </w:t>
      </w:r>
      <w:r>
        <w:t xml:space="preserve">УЗИ сканирования молочных желез (ABUS).Предметом исследования является</w:t>
      </w:r>
      <w:r>
        <w:t xml:space="preserve"> </w:t>
      </w:r>
      <w:r>
        <w:t xml:space="preserve">изучение диагностической эффективности автоматизированного объемного УЗИ</w:t>
      </w:r>
      <w:r>
        <w:t xml:space="preserve"> </w:t>
      </w:r>
      <w:r>
        <w:t xml:space="preserve">сканирования молочных желез, а также анализ наиболее важных факторов как</w:t>
      </w:r>
      <w:r>
        <w:t xml:space="preserve"> </w:t>
      </w:r>
      <w:r>
        <w:t xml:space="preserve">преддиагностическом этапе, так и при выполнении конкретного</w:t>
      </w:r>
      <w:r>
        <w:t xml:space="preserve"> </w:t>
      </w:r>
      <w:r>
        <w:t xml:space="preserve">диагностического метода, в частности при выполнении автоматизированного</w:t>
      </w:r>
      <w:r>
        <w:t xml:space="preserve"> </w:t>
      </w:r>
      <w:r>
        <w:t xml:space="preserve">объемного УЗИ сканирования молочных желез.Дизайн исследования можно</w:t>
      </w:r>
      <w:r>
        <w:t xml:space="preserve"> </w:t>
      </w:r>
      <w:r>
        <w:t xml:space="preserve">охарактеризовать ретро-проспективное наблюдательное</w:t>
      </w:r>
      <w:r>
        <w:t xml:space="preserve"> </w:t>
      </w:r>
      <w:r>
        <w:t xml:space="preserve">исследование.Протокол настоящего исследования был одобрен на заседании</w:t>
      </w:r>
      <w:r>
        <w:t xml:space="preserve"> </w:t>
      </w:r>
      <w:r>
        <w:t xml:space="preserve">локального этического комитета СЗГМУ им.Мечникова №00 от ХХ.ХХ.ХХХХ</w:t>
      </w:r>
      <w:r>
        <w:t xml:space="preserve"> </w:t>
      </w:r>
      <w:r>
        <w:t xml:space="preserve">года.</w:t>
      </w:r>
    </w:p>
    <w:p>
      <w:pPr>
        <w:pStyle w:val="BodyText"/>
      </w:pPr>
      <w:r>
        <w:rPr>
          <w:iCs/>
          <w:i/>
        </w:rPr>
        <w:t xml:space="preserve">Последовательность проведения диагностики</w:t>
      </w:r>
    </w:p>
    <w:p>
      <w:pPr>
        <w:pStyle w:val="BodyText"/>
      </w:pPr>
      <w:r>
        <w:drawing>
          <wp:inline>
            <wp:extent cx="5334000" cy="69665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g/sheme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6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1. Схема проведения диагностики настоящего иссдедования (КУ -</w:t>
      </w:r>
      <w:r>
        <w:t xml:space="preserve"> </w:t>
      </w:r>
      <w:r>
        <w:t xml:space="preserve">(нужна расшифровка) ; МРТ - магнитно-резонансная томография; УЗИ -</w:t>
      </w:r>
      <w:r>
        <w:t xml:space="preserve"> </w:t>
      </w:r>
      <w:r>
        <w:t xml:space="preserve">ультразвуковое исследолвание, BiRads - «Breast Imaging-Reporting and</w:t>
      </w:r>
      <w:r>
        <w:t xml:space="preserve"> </w:t>
      </w:r>
      <w:r>
        <w:t xml:space="preserve">Data System», стандартизированная шкала оценки результатов маммографии,</w:t>
      </w:r>
      <w:r>
        <w:t xml:space="preserve"> </w:t>
      </w:r>
      <w:r>
        <w:t xml:space="preserve">УЗИ и МРТ по степени риска наличия злокачественных образований молочной</w:t>
      </w:r>
      <w:r>
        <w:t xml:space="preserve"> </w:t>
      </w:r>
      <w:r>
        <w:t xml:space="preserve">железы)</w:t>
      </w:r>
    </w:p>
    <w:p>
      <w:pPr>
        <w:pStyle w:val="BodyText"/>
      </w:pPr>
      <w:r>
        <w:t xml:space="preserve">При обращении пациентки пациентки к гинеколону или онкологу проводился</w:t>
      </w:r>
      <w:r>
        <w:t xml:space="preserve"> </w:t>
      </w:r>
      <w:r>
        <w:t xml:space="preserve">сбор жалоб, анамнеза и осмтор, полученные данные регистрировались в</w:t>
      </w:r>
      <w:r>
        <w:t xml:space="preserve"> </w:t>
      </w:r>
      <w:r>
        <w:t xml:space="preserve">карте пацинта. Далее пациентке предлагалось пройти обследование в рамках</w:t>
      </w:r>
      <w:r>
        <w:t xml:space="preserve"> </w:t>
      </w:r>
      <w:r>
        <w:t xml:space="preserve">настоящего исследовани и после получения согласия проводилась</w:t>
      </w:r>
      <w:r>
        <w:t xml:space="preserve"> </w:t>
      </w:r>
      <w:r>
        <w:t xml:space="preserve">распределние по группам в случайнос порядке, а имеено простым жребием. С</w:t>
      </w:r>
      <w:r>
        <w:t xml:space="preserve"> </w:t>
      </w:r>
      <w:r>
        <w:t xml:space="preserve">условием увеличения выборок жребий корректировался для сохранения</w:t>
      </w:r>
      <w:r>
        <w:t xml:space="preserve"> </w:t>
      </w:r>
      <w:r>
        <w:t xml:space="preserve">пропорции. Пациентки попавшие в группу А проходили УЗИ с последующей</w:t>
      </w:r>
      <w:r>
        <w:t xml:space="preserve"> </w:t>
      </w:r>
      <w:r>
        <w:t xml:space="preserve">установкой категории BiRads. Пациентки попавшие в группу B в дополнение</w:t>
      </w:r>
      <w:r>
        <w:t xml:space="preserve"> </w:t>
      </w:r>
      <w:r>
        <w:t xml:space="preserve">проходили ABUS также с определением категории BiRads по УЗИ.</w:t>
      </w:r>
    </w:p>
    <w:p>
      <w:pPr>
        <w:pStyle w:val="BodyText"/>
      </w:pPr>
      <w:r>
        <w:t xml:space="preserve">Пациенткам, котрым по результатам УЗИ исследования были выставлены</w:t>
      </w:r>
      <w:r>
        <w:t xml:space="preserve"> </w:t>
      </w:r>
      <w:r>
        <w:t xml:space="preserve">категории BiRads 1 и BiRads 2 было рекомендовано дальнейшее наблюдение.</w:t>
      </w:r>
      <w:r>
        <w:t xml:space="preserve"> </w:t>
      </w:r>
      <w:r>
        <w:t xml:space="preserve">При усановке категории BiRads 3 было рекомендовано наблюдение в течении</w:t>
      </w:r>
      <w:r>
        <w:t xml:space="preserve"> </w:t>
      </w:r>
      <w:r>
        <w:t xml:space="preserve">3-6 мес или МРТ с КУ. При категории BiRads 4 и BiRads 5 проводилась core</w:t>
      </w:r>
      <w:r>
        <w:t xml:space="preserve"> </w:t>
      </w:r>
      <w:r>
        <w:t xml:space="preserve">биопсия или стереотаксическая биопсия или пункционная биопсия. Все</w:t>
      </w:r>
      <w:r>
        <w:t xml:space="preserve"> </w:t>
      </w:r>
      <w:r>
        <w:t xml:space="preserve">данные регистрировались для дальнейшего анализа.</w:t>
      </w:r>
    </w:p>
    <w:p>
      <w:pPr>
        <w:pStyle w:val="BodyText"/>
      </w:pPr>
      <w:r>
        <w:rPr>
          <w:iCs/>
          <w:i/>
        </w:rPr>
        <w:t xml:space="preserve">Описание выборки и групп</w:t>
      </w:r>
    </w:p>
    <w:p>
      <w:pPr>
        <w:pStyle w:val="BodyText"/>
      </w:pPr>
      <w:r>
        <w:t xml:space="preserve">С февраля 2019 по май 2023 года было исследовано 1511 пациенток с</w:t>
      </w:r>
      <w:r>
        <w:t xml:space="preserve"> </w:t>
      </w:r>
      <w:r>
        <w:t xml:space="preserve">возрастом до 40 лет. Медиана возраста пациенток выборке до 40 лет</w:t>
      </w:r>
      <w:r>
        <w:t xml:space="preserve"> </w:t>
      </w:r>
      <w:r>
        <w:t xml:space="preserve">составил 35 [Q1-Q3: 32;37] лет. Минимальный возраст сотсавил 20 лет</w:t>
      </w:r>
      <w:r>
        <w:t xml:space="preserve"> </w:t>
      </w:r>
      <w:r>
        <w:t xml:space="preserve">Максимальный возраст сотсавил 39 лет Медиана роста пациенток выборке до</w:t>
      </w:r>
      <w:r>
        <w:t xml:space="preserve"> </w:t>
      </w:r>
      <w:r>
        <w:t xml:space="preserve">40 лет составил 167 [Q1-Q3: 164;170] см. Медиана веса пациенток выборке</w:t>
      </w:r>
      <w:r>
        <w:t xml:space="preserve"> </w:t>
      </w:r>
      <w:r>
        <w:t xml:space="preserve">до 40 лет составил 59 [Q1-Q3: 55;65] кг. Все пациенки были разделены на</w:t>
      </w:r>
      <w:r>
        <w:t xml:space="preserve"> </w:t>
      </w:r>
      <w:r>
        <w:t xml:space="preserve">две группы A и B. В группу A вошло 724 пациенток и в это группе скрининг</w:t>
      </w:r>
      <w:r>
        <w:t xml:space="preserve"> </w:t>
      </w:r>
      <w:r>
        <w:t xml:space="preserve">проводился с использовонием мануальной УЗИ диагностики и и</w:t>
      </w:r>
      <w:r>
        <w:t xml:space="preserve"> </w:t>
      </w:r>
      <w:r>
        <w:t xml:space="preserve">автоматизированного объемного УЗИ сканирования молочных желез</w:t>
      </w:r>
      <w:r>
        <w:t xml:space="preserve"> </w:t>
      </w:r>
      <w:r>
        <w:t xml:space="preserve">(исследуемая группа). В группу B вошло 787 пациенток и в этой группе</w:t>
      </w:r>
      <w:r>
        <w:t xml:space="preserve"> </w:t>
      </w:r>
      <w:r>
        <w:t xml:space="preserve">скрининг проводился только с исползовонием ручного УЗИ диагностики</w:t>
      </w:r>
      <w:r>
        <w:t xml:space="preserve"> </w:t>
      </w:r>
      <w:r>
        <w:t xml:space="preserve">(котнтрольная группа). У всех пациенток проводился сбор жалоб, анамнеза</w:t>
      </w:r>
      <w:r>
        <w:t xml:space="preserve"> </w:t>
      </w:r>
      <w:r>
        <w:t xml:space="preserve">и осмотр. Основные описательные данных представленных групп представлены</w:t>
      </w:r>
      <w:r>
        <w:t xml:space="preserve"> </w:t>
      </w:r>
      <w:r>
        <w:t xml:space="preserve">в таблице №1.</w:t>
      </w:r>
    </w:p>
    <w:p>
      <w:pPr>
        <w:pStyle w:val="BodyText"/>
      </w:pPr>
      <w:r>
        <w:t xml:space="preserve">Жалоб в группе A не было в 86.79% (683), жалобы на уплотнение в 8.01%</w:t>
      </w:r>
      <w:r>
        <w:t xml:space="preserve"> </w:t>
      </w:r>
      <w:r>
        <w:t xml:space="preserve">(63)</w:t>
      </w:r>
      <w:r>
        <w:br/>
      </w:r>
      <w:r>
        <w:t xml:space="preserve">на боль в 4.83% (38) и на выделение из соска в 0.38% (3). В группе B</w:t>
      </w:r>
      <w:r>
        <w:t xml:space="preserve"> </w:t>
      </w:r>
      <w:r>
        <w:t xml:space="preserve">жалоб не было нет в 82.87% (600), жалобы уплотнение в 10.91% (79), на</w:t>
      </w:r>
      <w:r>
        <w:t xml:space="preserve"> </w:t>
      </w:r>
      <w:r>
        <w:t xml:space="preserve">боль в 5.25% (38) и выделения из соска в 0.97% (7)</w:t>
      </w:r>
    </w:p>
    <w:p>
      <w:pPr>
        <w:pStyle w:val="BodyText"/>
      </w:pPr>
      <w:r>
        <w:t xml:space="preserve">В группе A в репродуктивном возрасте было 96.7% (761) и пременопауза в</w:t>
      </w:r>
      <w:r>
        <w:t xml:space="preserve"> </w:t>
      </w:r>
      <w:r>
        <w:t xml:space="preserve">3.3% (26), а в группе B в репродуктивном возрасте было 97.24% (704)</w:t>
      </w:r>
      <w:r>
        <w:t xml:space="preserve"> </w:t>
      </w:r>
      <w:r>
        <w:t xml:space="preserve">случаев и в 2.76% (20) была пременопауза.</w:t>
      </w:r>
    </w:p>
    <w:p>
      <w:pPr>
        <w:pStyle w:val="BodyText"/>
      </w:pPr>
      <w:r>
        <w:t xml:space="preserve">Операции на молочной железе в группе A были в 1.52% (12), а в группе B</w:t>
      </w:r>
      <w:r>
        <w:t xml:space="preserve"> </w:t>
      </w:r>
      <w:r>
        <w:t xml:space="preserve">были операции в 1.66% (12). В иных случаях операций не было.</w:t>
      </w:r>
    </w:p>
    <w:p>
      <w:pPr>
        <w:pStyle w:val="BodyText"/>
      </w:pPr>
      <w:r>
        <w:t xml:space="preserve">Прием гормональных препаратов в группе A был в 19.7% (155), а в группе B</w:t>
      </w:r>
      <w:r>
        <w:t xml:space="preserve"> </w:t>
      </w:r>
      <w:r>
        <w:t xml:space="preserve">в 21.41% (155)</w:t>
      </w:r>
    </w:p>
    <w:p>
      <w:pPr>
        <w:pStyle w:val="BodyText"/>
      </w:pPr>
      <w:r>
        <w:t xml:space="preserve">Наследственная предрасположенность в группе A в в 31% (244), а В группе</w:t>
      </w:r>
      <w:r>
        <w:t xml:space="preserve"> </w:t>
      </w:r>
      <w:r>
        <w:t xml:space="preserve">B в 31.08% (225).</w:t>
      </w:r>
    </w:p>
    <w:p>
      <w:pPr>
        <w:pStyle w:val="BodyText"/>
      </w:pPr>
      <w:r>
        <w:t xml:space="preserve">В группе A было 6 исследований мутации BRCA и была найдена мутация BRCA1</w:t>
      </w:r>
      <w:r>
        <w:t xml:space="preserve"> </w:t>
      </w:r>
      <w:r>
        <w:t xml:space="preserve">в 100% (6), в группе B мутаций не выявлено в всех 100% (18) слкчаев.</w:t>
      </w:r>
    </w:p>
    <w:p>
      <w:pPr>
        <w:pStyle w:val="BodyText"/>
      </w:pPr>
      <w:r>
        <w:t xml:space="preserve">Кожные симптомтомов в обеих группах не было.</w:t>
      </w:r>
    </w:p>
    <w:p>
      <w:pPr>
        <w:pStyle w:val="BodyText"/>
      </w:pPr>
      <w:r>
        <w:t xml:space="preserve">В группе A не наблюдался симптом втягивания соска. В группе B были</w:t>
      </w:r>
      <w:r>
        <w:t xml:space="preserve"> </w:t>
      </w:r>
      <w:r>
        <w:t xml:space="preserve">случаи с указанным симптомом в 2.49% (18).</w:t>
      </w:r>
    </w:p>
    <w:p>
      <w:pPr>
        <w:pStyle w:val="BodyText"/>
      </w:pPr>
      <w:r>
        <w:t xml:space="preserve">В группе A в 0.89% (7) были кровянистые выделения из соска, в 99.11%</w:t>
      </w:r>
      <w:r>
        <w:t xml:space="preserve"> </w:t>
      </w:r>
      <w:r>
        <w:t xml:space="preserve">(780) никаких выделений не было. В группе B во всех случаях не было</w:t>
      </w:r>
      <w:r>
        <w:t xml:space="preserve"> </w:t>
      </w:r>
      <w:r>
        <w:t xml:space="preserve">выделений.</w:t>
      </w:r>
    </w:p>
    <w:p>
      <w:pPr>
        <w:pStyle w:val="BodyText"/>
      </w:pPr>
      <w:r>
        <w:t xml:space="preserve">По типу структуры ACR в группе A тип С был в 72.94% (574), а тип D в</w:t>
      </w:r>
      <w:r>
        <w:t xml:space="preserve"> </w:t>
      </w:r>
      <w:r>
        <w:t xml:space="preserve">27.06% (213), в то время как в группе B тип С был в 67.82% (491), а тип</w:t>
      </w:r>
      <w:r>
        <w:t xml:space="preserve"> </w:t>
      </w:r>
      <w:r>
        <w:t xml:space="preserve">D в 32.18% (233).</w:t>
      </w:r>
    </w:p>
    <w:p>
      <w:pPr>
        <w:pStyle w:val="BodyText"/>
      </w:pPr>
      <w:r>
        <w:t xml:space="preserve">Таблица № 1. Основные характеристики пациенток, прошедших исследование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Жалобы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жалоб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86.785 % ( 683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[ 0.84 ; 0.89 ]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82.873 % ( 600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 ; 0.86 ]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4.828 % ( 38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5.249 % ( 38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0.07 ]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выделения из соска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0.381 % ( 3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0.967 % ( 7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уплотнение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8.005 % ( 63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[ 0.06 ; 0.1 ]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10.912 % ( 79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[ 0.09 ; 0.13 ]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Репродуктивный статус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репродуктивный 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96.696 % ( 761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[ 0.95 ; 0.98 ]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97.238 % ( 704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[ 0.96 ; 0.98 ]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3.304 % ( 26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2.762 % ( 20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0.04 ]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Операции на молочной железе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было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98.475 % ( 775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 ; 0.99 ]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98.343 % ( 712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 ; 0.99 ]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были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1.525 % ( 12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1.657 % ( 12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Прием гормональных препаратов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19.695 % ( 155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[ 0.17 ; 0.23 ]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21.409 % ( 155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[ 0.19 ; 0.25 ]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80.305 % ( 632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[ 0.77 ; 0.83 ]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78.591 % ( 569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[ 0.75 ; 0.81 ]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Наследственная предрасположенность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31.004 % ( 244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[ 0.28 ; 0.34 ]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31.077 % ( 225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[ 0.28 ; 0.35 ]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68.996 % ( 543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[ 0.66 ; 0.72 ]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68.923 % ( 499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[ 0.65 ; 0.72 ]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Мутация BRCA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BRCA1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( 6 / 6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[ 0.52 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18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0.22 ]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мутаций не выявлено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0.48 ]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( 18 / 18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[ 0.78 ; 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втягивания соска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2.486 % ( 18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0.04 ]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( 787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[ 0.99 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97.514 % ( 706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[ 0.96 ; 0.98 ]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выделения из соска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99.111 % ( 780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[ 0.98 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( 724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[ 0.99 ; 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кровянистые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0.889 % ( 7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 структуры ACR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72.935 % ( 574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 ; 0.76 ]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67.818 % ( 491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[ 0.64 ; 0.71 ]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27.065 % ( 213 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[ 0.24 ; 0.3 ]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32.182 % ( 233 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[ 0.29 ; 0.36 ]</w:t>
            </w:r>
          </w:p>
        </w:tc>
      </w:tr>
    </w:tbl>
    <w:p>
      <w:pPr>
        <w:pStyle w:val="BodyText"/>
      </w:pPr>
      <w:r>
        <w:rPr>
          <w:iCs/>
          <w:i/>
        </w:rPr>
        <w:t xml:space="preserve">Описание ABUS</w:t>
      </w:r>
    </w:p>
    <w:p>
      <w:pPr>
        <w:pStyle w:val="BodyText"/>
      </w:pPr>
      <w:r>
        <w:t xml:space="preserve">3D-автоматизированная ультразвуковая система Invenia (ABUS) оцениваемая</w:t>
      </w:r>
      <w:r>
        <w:t xml:space="preserve"> </w:t>
      </w:r>
      <w:r>
        <w:t xml:space="preserve">в данном исследовании, производства GE Healthcare (Саннивейл,</w:t>
      </w:r>
      <w:r>
        <w:t xml:space="preserve"> </w:t>
      </w:r>
      <w:r>
        <w:t xml:space="preserve">Калифорния, США) 2018 года выпуска— это компьютерная система для</w:t>
      </w:r>
      <w:r>
        <w:t xml:space="preserve"> </w:t>
      </w:r>
      <w:r>
        <w:t xml:space="preserve">оценки плотной молочной железы. Каждая молочная железа была</w:t>
      </w:r>
      <w:r>
        <w:t xml:space="preserve"> </w:t>
      </w:r>
      <w:r>
        <w:t xml:space="preserve">визуализирована в трех проекциях: боковой (LAT), переднезадней (AP).и</w:t>
      </w:r>
      <w:r>
        <w:t xml:space="preserve"> </w:t>
      </w:r>
      <w:r>
        <w:t xml:space="preserve">медиальный (MED) с автоматическим датчиком с линейной матрицей от 6 до</w:t>
      </w:r>
      <w:r>
        <w:t xml:space="preserve"> </w:t>
      </w:r>
      <w:r>
        <w:t xml:space="preserve">14 МГц, прикрепленным к жесткой компрессионной пластине (площадь</w:t>
      </w:r>
      <w:r>
        <w:t xml:space="preserve"> </w:t>
      </w:r>
      <w:r>
        <w:t xml:space="preserve">15,4×17,0×5,0 см).Индивидуальная мембрана для датчика была использована</w:t>
      </w:r>
      <w:r>
        <w:t xml:space="preserve"> </w:t>
      </w:r>
      <w:r>
        <w:t xml:space="preserve">для каждой пациентки. Во время исследования система получала до 300</w:t>
      </w:r>
      <w:r>
        <w:t xml:space="preserve"> </w:t>
      </w:r>
      <w:r>
        <w:t xml:space="preserve">2D-срезов и реконструировала их в коронарной плоскости.</w:t>
      </w:r>
      <w:r>
        <w:t xml:space="preserve"> </w:t>
      </w:r>
      <w:r>
        <w:t xml:space="preserve">Стандартизированный процесс осмотра включает использование</w:t>
      </w:r>
      <w:r>
        <w:t xml:space="preserve"> </w:t>
      </w:r>
      <w:r>
        <w:t xml:space="preserve">запатентованной коронарной плоскости для быстрой навигации по молочной</w:t>
      </w:r>
      <w:r>
        <w:t xml:space="preserve"> </w:t>
      </w:r>
      <w:r>
        <w:t xml:space="preserve">железе, а также использование «режима обзора», позволяющего врачу быстро</w:t>
      </w:r>
      <w:r>
        <w:t xml:space="preserve"> </w:t>
      </w:r>
      <w:r>
        <w:t xml:space="preserve">интерпретировать изображения. Время сбора данных для каждой проекции</w:t>
      </w:r>
      <w:r>
        <w:t xml:space="preserve"> </w:t>
      </w:r>
      <w:r>
        <w:t xml:space="preserve">составляло 60 с, примерно по 3–4 мин на каждую молочную железу.</w:t>
      </w:r>
    </w:p>
    <w:p>
      <w:pPr>
        <w:pStyle w:val="BodyText"/>
      </w:pPr>
      <w:r>
        <w:t xml:space="preserve">Обследование проводили в положении лежа. Полотенце было помещено под</w:t>
      </w:r>
      <w:r>
        <w:t xml:space="preserve"> </w:t>
      </w:r>
      <w:r>
        <w:t xml:space="preserve">плечом, что помогло расправить ткань молочной железы равномерно, соском</w:t>
      </w:r>
      <w:r>
        <w:t xml:space="preserve"> </w:t>
      </w:r>
      <w:r>
        <w:t xml:space="preserve">к потолку. На молочные железы равномерно наносили гипоаллергенный</w:t>
      </w:r>
      <w:r>
        <w:t xml:space="preserve"> </w:t>
      </w:r>
      <w:r>
        <w:t xml:space="preserve">ультразвуковой гель с дополнительным количество на область соска.</w:t>
      </w:r>
      <w:r>
        <w:t xml:space="preserve"> </w:t>
      </w:r>
      <w:r>
        <w:t xml:space="preserve">Возможно применение трех уровней компрессии датчика для исследования</w:t>
      </w:r>
      <w:r>
        <w:t xml:space="preserve"> </w:t>
      </w:r>
      <w:r>
        <w:t xml:space="preserve">молочных желез для получения наилучшей визуализации с учетом комфорта</w:t>
      </w:r>
      <w:r>
        <w:t xml:space="preserve"> </w:t>
      </w:r>
      <w:r>
        <w:t xml:space="preserve">пациента.</w:t>
      </w:r>
    </w:p>
    <w:p>
      <w:pPr>
        <w:pStyle w:val="BodyText"/>
      </w:pPr>
      <w:r>
        <w:t xml:space="preserve">Сканирование ABUS было непрерывным и автоматизированным. В течение</w:t>
      </w:r>
      <w:r>
        <w:t xml:space="preserve"> </w:t>
      </w:r>
      <w:r>
        <w:t xml:space="preserve">исследования женщин попросили не двигаться, не разговаривать и дышать</w:t>
      </w:r>
      <w:r>
        <w:t xml:space="preserve"> </w:t>
      </w:r>
      <w:r>
        <w:t xml:space="preserve">ровно. Выполнял исследование сертифицированный персонал со средним</w:t>
      </w:r>
      <w:r>
        <w:t xml:space="preserve"> </w:t>
      </w:r>
      <w:r>
        <w:t xml:space="preserve">медицинским образованием.</w:t>
      </w:r>
    </w:p>
    <w:p>
      <w:pPr>
        <w:pStyle w:val="BodyText"/>
      </w:pPr>
      <w:r>
        <w:t xml:space="preserve">После завершения сбора данных ультразвуковой системой весь массив</w:t>
      </w:r>
      <w:r>
        <w:t xml:space="preserve"> </w:t>
      </w:r>
      <w:r>
        <w:t xml:space="preserve">передавался на специальную рабочую станцию для интерпретации. Оценку</w:t>
      </w:r>
      <w:r>
        <w:t xml:space="preserve"> </w:t>
      </w:r>
      <w:r>
        <w:t xml:space="preserve">изображений ABUS выполнял один врач ультразвуковой диагностики, со</w:t>
      </w:r>
      <w:r>
        <w:t xml:space="preserve"> </w:t>
      </w:r>
      <w:r>
        <w:t xml:space="preserve">стажем работы более 7 лет. Общее время, необходимое для подготовки</w:t>
      </w:r>
      <w:r>
        <w:t xml:space="preserve"> </w:t>
      </w:r>
      <w:r>
        <w:t xml:space="preserve">пациента и получения ABUS, фиксировалось,</w:t>
      </w:r>
    </w:p>
    <w:p>
      <w:pPr>
        <w:pStyle w:val="BodyText"/>
      </w:pPr>
      <w:r>
        <w:rPr>
          <w:iCs/>
          <w:i/>
        </w:rPr>
        <w:t xml:space="preserve">Описание УЗИ-исседования</w:t>
      </w:r>
    </w:p>
    <w:p>
      <w:pPr>
        <w:pStyle w:val="BodyText"/>
      </w:pPr>
      <w:r>
        <w:t xml:space="preserve">УЗИ мсследование выполняли два врача ультразвуковой диагностики со</w:t>
      </w:r>
      <w:r>
        <w:t xml:space="preserve"> </w:t>
      </w:r>
      <w:r>
        <w:t xml:space="preserve">стажем работы более 7 лет. Исследование проводилось в положении лежа, с</w:t>
      </w:r>
      <w:r>
        <w:t xml:space="preserve"> </w:t>
      </w:r>
      <w:r>
        <w:t xml:space="preserve">руками за головой, с последовательным сканированием каждого квадранта</w:t>
      </w:r>
      <w:r>
        <w:t xml:space="preserve"> </w:t>
      </w:r>
      <w:r>
        <w:t xml:space="preserve">обеих молочных железе в сагитальной и аксиальной плоскостях, с</w:t>
      </w:r>
      <w:r>
        <w:t xml:space="preserve"> </w:t>
      </w:r>
      <w:r>
        <w:t xml:space="preserve">исследованием ретроареолярной области и аксиллярных областей с двух</w:t>
      </w:r>
      <w:r>
        <w:t xml:space="preserve"> </w:t>
      </w:r>
      <w:r>
        <w:t xml:space="preserve">сторон.</w:t>
      </w:r>
    </w:p>
    <w:p>
      <w:pPr>
        <w:pStyle w:val="BodyText"/>
      </w:pPr>
      <w:r>
        <w:t xml:space="preserve">Устройства, используемые для проведения HHUS включали GE LOGIQS 8 (GE</w:t>
      </w:r>
      <w:r>
        <w:t xml:space="preserve"> </w:t>
      </w:r>
      <w:r>
        <w:t xml:space="preserve">Medical Systems, Милуоки, Висконсин, США), Toshiba Aplio 300(Canon</w:t>
      </w:r>
      <w:r>
        <w:t xml:space="preserve"> </w:t>
      </w:r>
      <w:r>
        <w:t xml:space="preserve">Япония)- ультразвуковые системы экспертного класса.</w:t>
      </w:r>
    </w:p>
    <w:p>
      <w:pPr>
        <w:pStyle w:val="BodyText"/>
      </w:pPr>
      <w:r>
        <w:rPr>
          <w:iCs/>
          <w:i/>
        </w:rPr>
        <w:t xml:space="preserve">Статистический анализ</w:t>
      </w:r>
    </w:p>
    <w:p>
      <w:pPr>
        <w:pStyle w:val="BodyText"/>
      </w:pPr>
      <w:r>
        <w:t xml:space="preserve">Статистическая обработка проводилась с помощью языка программы</w:t>
      </w:r>
      <w:r>
        <w:t xml:space="preserve"> </w:t>
      </w:r>
      <w:r>
        <w:t xml:space="preserve">STATISTICS 12. Для определения числа наблюдений при каждом типе</w:t>
      </w:r>
      <w:r>
        <w:t xml:space="preserve"> </w:t>
      </w:r>
      <w:r>
        <w:t xml:space="preserve">воздействия в каждой группе производился расчет мощности пропорций при</w:t>
      </w:r>
      <w:r>
        <w:t xml:space="preserve"> </w:t>
      </w:r>
      <w:r>
        <w:t xml:space="preserve">уровне значимости 95% и мощностью 0.8 с предварительным расчетом</w:t>
      </w:r>
      <w:r>
        <w:t xml:space="preserve"> </w:t>
      </w:r>
      <w:r>
        <w:t xml:space="preserve">велечены эффекта (h) по следующей формуле:</w:t>
      </w:r>
    </w:p>
    <w:p>
      <w:pPr>
        <w:pStyle w:val="BodyText"/>
      </w:pPr>
      <w:r>
        <w:t xml:space="preserve">Обозначения p1 и p2 соответствуют сравниваемым пропорциям. Данные,</w:t>
      </w:r>
      <w:r>
        <w:t xml:space="preserve"> </w:t>
      </w:r>
      <w:r>
        <w:t xml:space="preserve">необходимые для расчета величины эффекта были взяты из исследования Xin</w:t>
      </w:r>
      <w:r>
        <w:t xml:space="preserve"> </w:t>
      </w:r>
      <w:r>
        <w:t xml:space="preserve">Y. и коллег (2021)</w:t>
      </w:r>
      <w:r>
        <w:t xml:space="preserve"> </w:t>
      </w:r>
      <w:r>
        <w:t xml:space="preserve">[10]</w:t>
      </w:r>
      <w:r>
        <w:t xml:space="preserve">. Получено значение умножалось на 1.15 (то</w:t>
      </w:r>
      <w:r>
        <w:t xml:space="preserve"> </w:t>
      </w:r>
      <w:r>
        <w:t xml:space="preserve">есть +15%), чтобы учесть возможность устранения неподходящих к</w:t>
      </w:r>
      <w:r>
        <w:t xml:space="preserve"> </w:t>
      </w:r>
      <w:r>
        <w:t xml:space="preserve">исследованию данных с сохранением необходимого объема. По результатам</w:t>
      </w:r>
      <w:r>
        <w:t xml:space="preserve"> </w:t>
      </w:r>
      <w:r>
        <w:t xml:space="preserve">расчета для достижения эффекта нужно исследовать не менее 1430</w:t>
      </w:r>
      <w:r>
        <w:t xml:space="preserve"> </w:t>
      </w:r>
      <w:r>
        <w:t xml:space="preserve">пациенток, в настоящем исследовании было на 5.66% больше от</w:t>
      </w:r>
      <w:r>
        <w:t xml:space="preserve"> </w:t>
      </w:r>
      <w:r>
        <w:t xml:space="preserve">необходимого.</w:t>
      </w:r>
    </w:p>
    <w:p>
      <w:pPr>
        <w:pStyle w:val="BodyText"/>
      </w:pPr>
      <w:r>
        <w:t xml:space="preserve">Для описания количественных показателей проводилась оценка на</w:t>
      </w:r>
      <w:r>
        <w:t xml:space="preserve"> </w:t>
      </w:r>
      <w:r>
        <w:t xml:space="preserve">нормальность распределения, в качестве метода использовался критерий</w:t>
      </w:r>
      <w:r>
        <w:t xml:space="preserve"> </w:t>
      </w:r>
      <w:r>
        <w:t xml:space="preserve">Шапиро-Уилка. Переменные, имеющие нормальное распределение, описывались</w:t>
      </w:r>
      <w:r>
        <w:t xml:space="preserve"> </w:t>
      </w:r>
      <w:r>
        <w:t xml:space="preserve">как среднее ± стандартное отклонение (M±SD). Переменные, распределение</w:t>
      </w:r>
      <w:r>
        <w:t xml:space="preserve"> </w:t>
      </w:r>
      <w:r>
        <w:t xml:space="preserve">которых отличалось от нормального, описывались при помощи значений</w:t>
      </w:r>
      <w:r>
        <w:t xml:space="preserve"> </w:t>
      </w:r>
      <w:r>
        <w:t xml:space="preserve">медианы (Me) и нижнего и верхнего квартилей (Q1-Q3). Для определения</w:t>
      </w:r>
      <w:r>
        <w:t xml:space="preserve"> </w:t>
      </w:r>
      <w:r>
        <w:t xml:space="preserve">статистически значимой разницы непрерывных величин использовали критерий</w:t>
      </w:r>
      <w:r>
        <w:t xml:space="preserve"> </w:t>
      </w:r>
      <w:r>
        <w:t xml:space="preserve">Манна-Уитни для независимых непараметрических выборок при ненормальном</w:t>
      </w:r>
      <w:r>
        <w:t xml:space="preserve"> </w:t>
      </w:r>
      <w:r>
        <w:t xml:space="preserve">распределении и t-критерий Стюдента для независимых параметрических</w:t>
      </w:r>
      <w:r>
        <w:t xml:space="preserve"> </w:t>
      </w:r>
      <w:r>
        <w:t xml:space="preserve">выборок при нормальном. Для определения статистически значимой разницы</w:t>
      </w:r>
      <w:r>
        <w:t xml:space="preserve"> </w:t>
      </w:r>
      <w:r>
        <w:t xml:space="preserve">независимых качественных величин Хи-квадрат Пирсона, при недостаточном</w:t>
      </w:r>
      <w:r>
        <w:t xml:space="preserve"> </w:t>
      </w:r>
      <w:r>
        <w:t xml:space="preserve">количестве наблюдений, то есть число наблюдений в любой из ячеек</w:t>
      </w:r>
      <w:r>
        <w:t xml:space="preserve"> </w:t>
      </w:r>
      <w:r>
        <w:t xml:space="preserve">четырехпольной таблицы было менее 5 наблюдений, использовался точный</w:t>
      </w:r>
      <w:r>
        <w:t xml:space="preserve"> </w:t>
      </w:r>
      <w:r>
        <w:t xml:space="preserve">критерий Фишера.</w:t>
      </w:r>
    </w:p>
    <w:p>
      <w:pPr>
        <w:pStyle w:val="BodyText"/>
      </w:pPr>
      <w:r>
        <w:t xml:space="preserve">Для определения чувствительности, спецефичности и точности</w:t>
      </w:r>
      <w:r>
        <w:t xml:space="preserve"> </w:t>
      </w:r>
      <w:r>
        <w:t xml:space="preserve">использовалась функция confusionMatrix() из библиотека caret версия</w:t>
      </w:r>
      <w:r>
        <w:t xml:space="preserve"> </w:t>
      </w:r>
      <w:r>
        <w:t xml:space="preserve">3.45, язык программирования R (среда разработки RStudio). При</w:t>
      </w:r>
      <w:r>
        <w:t xml:space="preserve"> </w:t>
      </w:r>
      <w:r>
        <w:t xml:space="preserve">определении эффективности диагностических методов УЗИ, ММГ ABUS в</w:t>
      </w:r>
      <w:r>
        <w:t xml:space="preserve"> </w:t>
      </w:r>
      <w:r>
        <w:t xml:space="preserve">нахождении злокачественных новообразований в качестве контрольного</w:t>
      </w:r>
      <w:r>
        <w:t xml:space="preserve"> </w:t>
      </w:r>
      <w:r>
        <w:t xml:space="preserve">метода использовались данные гистологического исследования. При</w:t>
      </w:r>
      <w:r>
        <w:t xml:space="preserve"> </w:t>
      </w:r>
      <w:r>
        <w:t xml:space="preserve">определении эффективности диагностических методов УЗИ и ABUS в</w:t>
      </w:r>
      <w:r>
        <w:t xml:space="preserve"> </w:t>
      </w:r>
      <w:r>
        <w:t xml:space="preserve">нахождении кальцинатов в качестве контрольного метода использовались</w:t>
      </w:r>
      <w:r>
        <w:t xml:space="preserve"> </w:t>
      </w:r>
      <w:r>
        <w:t xml:space="preserve">данные ММГ исследования.</w:t>
      </w:r>
    </w:p>
    <w:p>
      <w:pPr>
        <w:pStyle w:val="BodyText"/>
      </w:pPr>
      <w:r>
        <w:t xml:space="preserve">Для построения предсказательной модели на основании данных</w:t>
      </w:r>
      <w:r>
        <w:t xml:space="preserve"> </w:t>
      </w:r>
      <w:r>
        <w:t xml:space="preserve">использовалась логистическая регрессия с помощью функций glm (),</w:t>
      </w:r>
      <w:r>
        <w:t xml:space="preserve"> </w:t>
      </w:r>
      <w:r>
        <w:t xml:space="preserve">predict() из пакета stats версия 3.6.2, язык программирования R (среда</w:t>
      </w:r>
      <w:r>
        <w:t xml:space="preserve"> </w:t>
      </w:r>
      <w:r>
        <w:t xml:space="preserve">разработки RStudio). Для оценки получено предсказательной модели и</w:t>
      </w:r>
      <w:r>
        <w:t xml:space="preserve"> </w:t>
      </w:r>
      <w:r>
        <w:t xml:space="preserve">построения ROC-кривой с расчетом площади под кривой (AUC - area under</w:t>
      </w:r>
      <w:r>
        <w:t xml:space="preserve"> </w:t>
      </w:r>
      <w:r>
        <w:t xml:space="preserve">curve) использовался пакет pROC version 1.18.4 с функцией roc().</w:t>
      </w:r>
    </w:p>
    <w:bookmarkEnd w:id="29"/>
    <w:bookmarkStart w:id="45" w:name="результаты-исследования"/>
    <w:p>
      <w:pPr>
        <w:pStyle w:val="Heading2"/>
      </w:pPr>
      <w:r>
        <w:t xml:space="preserve">Результаты исследования</w:t>
      </w:r>
    </w:p>
    <w:p>
      <w:pPr>
        <w:pStyle w:val="FirstParagraph"/>
      </w:pPr>
      <w:r>
        <w:t xml:space="preserve">По результатам выполнения УЗИ был поставлен дигноз злокачественного</w:t>
      </w:r>
      <w:r>
        <w:t xml:space="preserve"> </w:t>
      </w:r>
      <w:r>
        <w:t xml:space="preserve">образования в группе A в 1.91% (15), в группе B в 6.49% (47). При</w:t>
      </w:r>
      <w:r>
        <w:t xml:space="preserve"> </w:t>
      </w:r>
      <w:r>
        <w:t xml:space="preserve">выполнении ABUS был поставлен дигноз злокачественного образования в</w:t>
      </w:r>
      <w:r>
        <w:t xml:space="preserve"> </w:t>
      </w:r>
      <w:r>
        <w:t xml:space="preserve">группе A в 1.91% (15) в группе B в 6.49% (47)</w:t>
      </w:r>
    </w:p>
    <w:p>
      <w:pPr>
        <w:pStyle w:val="BodyText"/>
      </w:pPr>
      <w:r>
        <w:t xml:space="preserve">По результатам выполнения УЗИ в группе A Birads 1 в 26.68% (210), Birads</w:t>
      </w:r>
      <w:r>
        <w:t xml:space="preserve"> </w:t>
      </w:r>
      <w:r>
        <w:t xml:space="preserve">2 в 57.69% (454), Birads 3 в 12.45% (98), Birads 4а в 1.27% (10) и</w:t>
      </w:r>
      <w:r>
        <w:t xml:space="preserve"> </w:t>
      </w:r>
      <w:r>
        <w:t xml:space="preserve">Birads 5 в 1.91% (15) В группе B категория Birads 1 в 20.58%</w:t>
      </w:r>
      <w:r>
        <w:t xml:space="preserve"> </w:t>
      </w:r>
      <w:r>
        <w:t xml:space="preserve">(149),Birads 2 в 58.43% (423),Birads 3 в 15.19% (110),Birads 4а в 3.31%</w:t>
      </w:r>
      <w:r>
        <w:t xml:space="preserve"> </w:t>
      </w:r>
      <w:r>
        <w:t xml:space="preserve">(24),Birads 4b в 1.66% (12) и Birads 5 в 0.83% (6) (Рисунок №2)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g/us_category_birad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№2. Распределение поставленных категорий BiRads после выполнения</w:t>
      </w:r>
      <w:r>
        <w:t xml:space="preserve"> </w:t>
      </w:r>
      <w:r>
        <w:t xml:space="preserve">УЗИ</w:t>
      </w:r>
    </w:p>
    <w:p>
      <w:pPr>
        <w:pStyle w:val="BodyText"/>
      </w:pPr>
      <w:r>
        <w:t xml:space="preserve">По результатам выполнения гистологическкого исследования был поставлен</w:t>
      </w:r>
      <w:r>
        <w:t xml:space="preserve"> </w:t>
      </w:r>
      <w:r>
        <w:t xml:space="preserve">дигноз злокачественного образования в группе A в 1.91% (15), а в группе</w:t>
      </w:r>
      <w:r>
        <w:t xml:space="preserve"> </w:t>
      </w:r>
      <w:r>
        <w:t xml:space="preserve">B в 6.49% (47).</w:t>
      </w:r>
    </w:p>
    <w:p>
      <w:pPr>
        <w:pStyle w:val="BodyText"/>
      </w:pPr>
      <w:r>
        <w:rPr>
          <w:iCs/>
          <w:i/>
        </w:rPr>
        <w:t xml:space="preserve">Определение чувствительности, спецефичности и точности методов</w:t>
      </w:r>
    </w:p>
    <w:p>
      <w:pPr>
        <w:pStyle w:val="BodyText"/>
      </w:pPr>
      <w:r>
        <w:t xml:space="preserve">При оценке УЗИ в группе А количество истинно верно определенных</w:t>
      </w:r>
      <w:r>
        <w:t xml:space="preserve"> </w:t>
      </w:r>
      <w:r>
        <w:t xml:space="preserve">образований как доброкачественные было 769 , количество верно</w:t>
      </w:r>
      <w:r>
        <w:t xml:space="preserve"> </w:t>
      </w:r>
      <w:r>
        <w:t xml:space="preserve">определённых образований как злокачественные было 12 , количество</w:t>
      </w:r>
      <w:r>
        <w:t xml:space="preserve"> </w:t>
      </w:r>
      <w:r>
        <w:t xml:space="preserve">неверно определенных образований как злокачественные было 3 и количество</w:t>
      </w:r>
      <w:r>
        <w:t xml:space="preserve"> </w:t>
      </w:r>
      <w:r>
        <w:t xml:space="preserve">неопределенных злокачественных образований как доброкачественные было 3</w:t>
      </w:r>
      <w:r>
        <w:t xml:space="preserve"> </w:t>
      </w:r>
      <w:r>
        <w:t xml:space="preserve">. Точность метода составила 0.99 [95% ДИ: 0.98 , 1 ]. P-Value модели</w:t>
      </w:r>
      <w:r>
        <w:t xml:space="preserve"> </w:t>
      </w:r>
      <w:r>
        <w:t xml:space="preserve">составил 0.01 что означает, что модель отличается от точности нулевой</w:t>
      </w:r>
      <w:r>
        <w:t xml:space="preserve"> </w:t>
      </w:r>
      <w:r>
        <w:t xml:space="preserve">гипотезы. Коэфициент Kappa составил 0.8 показывает, что метод указывает</w:t>
      </w:r>
      <w:r>
        <w:t xml:space="preserve"> </w:t>
      </w:r>
      <w:r>
        <w:t xml:space="preserve">на высокое согласие между предсказаниями и истинными значениями</w:t>
      </w:r>
      <w:r>
        <w:t xml:space="preserve"> </w:t>
      </w:r>
      <w:r>
        <w:t xml:space="preserve">(количество истинно положительных и отрицательных результатов). Тест</w:t>
      </w:r>
      <w:r>
        <w:t xml:space="preserve"> </w:t>
      </w:r>
      <w:r>
        <w:t xml:space="preserve">Макнемара составил 1 показывает, что метод не имеет существенно отличную</w:t>
      </w:r>
      <w:r>
        <w:t xml:space="preserve"> </w:t>
      </w:r>
      <w:r>
        <w:t xml:space="preserve">от контрольного метода частоту ошибок (количество ложноположительных и</w:t>
      </w:r>
      <w:r>
        <w:t xml:space="preserve"> </w:t>
      </w:r>
      <w:r>
        <w:t xml:space="preserve">ложноотрицательных результатов). Чувствительность метода составила 0.8.</w:t>
      </w:r>
      <w:r>
        <w:t xml:space="preserve"> </w:t>
      </w:r>
      <w:r>
        <w:t xml:space="preserve">Специфичность метода составила 1. Отбалансированная точность метода</w:t>
      </w:r>
      <w:r>
        <w:t xml:space="preserve"> </w:t>
      </w:r>
      <w:r>
        <w:t xml:space="preserve">составила 0.9</w:t>
      </w:r>
    </w:p>
    <w:p>
      <w:pPr>
        <w:pStyle w:val="BodyText"/>
      </w:pPr>
      <w:r>
        <w:t xml:space="preserve">При оценке УЗИ в группе B количество истинно верно определенных</w:t>
      </w:r>
      <w:r>
        <w:t xml:space="preserve"> </w:t>
      </w:r>
      <w:r>
        <w:t xml:space="preserve">образований как доброкачественные было 673 , количество верно</w:t>
      </w:r>
      <w:r>
        <w:t xml:space="preserve"> </w:t>
      </w:r>
      <w:r>
        <w:t xml:space="preserve">определённых образований как злокачественные было 33 , количество</w:t>
      </w:r>
      <w:r>
        <w:t xml:space="preserve"> </w:t>
      </w:r>
      <w:r>
        <w:t xml:space="preserve">неверно определенных образований как злокачественные было 14 и</w:t>
      </w:r>
      <w:r>
        <w:t xml:space="preserve"> </w:t>
      </w:r>
      <w:r>
        <w:t xml:space="preserve">количество неопределенных злокачественных образований как</w:t>
      </w:r>
      <w:r>
        <w:t xml:space="preserve"> </w:t>
      </w:r>
      <w:r>
        <w:t xml:space="preserve">доброкачественные было 4. Точность метода составила 0.98 [95% ДИ: 0.96 ,</w:t>
      </w:r>
      <w:r>
        <w:t xml:space="preserve"> </w:t>
      </w:r>
      <w:r>
        <w:t xml:space="preserve">0.99]. P-Value модели составил &lt; 0,01 что означает, что модель</w:t>
      </w:r>
      <w:r>
        <w:t xml:space="preserve"> </w:t>
      </w:r>
      <w:r>
        <w:t xml:space="preserve">отличается от точности нулевой гипотезы. Коэфициент Kappa составил 0.77</w:t>
      </w:r>
      <w:r>
        <w:t xml:space="preserve"> </w:t>
      </w:r>
      <w:r>
        <w:t xml:space="preserve">показывает (если стремится к 1), что метод указывает на высокое согласие</w:t>
      </w:r>
      <w:r>
        <w:t xml:space="preserve"> </w:t>
      </w:r>
      <w:r>
        <w:t xml:space="preserve">между предсказаниями и истинными значениями (количество истинно</w:t>
      </w:r>
      <w:r>
        <w:t xml:space="preserve"> </w:t>
      </w:r>
      <w:r>
        <w:t xml:space="preserve">положительных и отрицательных результатов). Тест Макнемара составил 0.03</w:t>
      </w:r>
      <w:r>
        <w:t xml:space="preserve"> </w:t>
      </w:r>
      <w:r>
        <w:t xml:space="preserve">показывает, что метод имеет существенно отличную от контрольного метода</w:t>
      </w:r>
      <w:r>
        <w:t xml:space="preserve"> </w:t>
      </w:r>
      <w:r>
        <w:t xml:space="preserve">частоту ошибок, тоесть метод УЗИ был больше в сторону количества</w:t>
      </w:r>
      <w:r>
        <w:t xml:space="preserve"> </w:t>
      </w:r>
      <w:r>
        <w:t xml:space="preserve">ложноположительных результатов. Чувствительность метода составила 0.89.</w:t>
      </w:r>
      <w:r>
        <w:t xml:space="preserve"> </w:t>
      </w:r>
      <w:r>
        <w:t xml:space="preserve">Специфичность метода составила 0.98. Отбалансированная точность метода</w:t>
      </w:r>
      <w:r>
        <w:t xml:space="preserve"> </w:t>
      </w:r>
      <w:r>
        <w:t xml:space="preserve">составила 0.94</w:t>
      </w:r>
    </w:p>
    <w:p>
      <w:pPr>
        <w:pStyle w:val="BodyText"/>
      </w:pPr>
      <w:r>
        <w:t xml:space="preserve">При оценке ABUS в группе B количество истинно верно определенных</w:t>
      </w:r>
      <w:r>
        <w:t xml:space="preserve"> </w:t>
      </w:r>
      <w:r>
        <w:t xml:space="preserve">образований как доброкачественные было 678 , количество верно</w:t>
      </w:r>
      <w:r>
        <w:t xml:space="preserve"> </w:t>
      </w:r>
      <w:r>
        <w:t xml:space="preserve">определённых образований как злокачественные было 35 , количество</w:t>
      </w:r>
      <w:r>
        <w:t xml:space="preserve"> </w:t>
      </w:r>
      <w:r>
        <w:t xml:space="preserve">неверно определенных образований как злокачественные было 9 и количество</w:t>
      </w:r>
      <w:r>
        <w:t xml:space="preserve"> </w:t>
      </w:r>
      <w:r>
        <w:t xml:space="preserve">неопределенных злокачественных образований как доброкачественные было 2</w:t>
      </w:r>
      <w:r>
        <w:t xml:space="preserve"> </w:t>
      </w:r>
      <w:r>
        <w:t xml:space="preserve">. Точность метода составила 0.98 [95% ДИ: 0.97 , 0.99 ]. P-Value модели</w:t>
      </w:r>
      <w:r>
        <w:t xml:space="preserve"> </w:t>
      </w:r>
      <w:r>
        <w:t xml:space="preserve">составил &lt; 0,01 что означает, что модель отличается от точности нулевой</w:t>
      </w:r>
      <w:r>
        <w:t xml:space="preserve"> </w:t>
      </w:r>
      <w:r>
        <w:t xml:space="preserve">гипотезы. Коэфициент Kappa составил 0.86 показывает, что метод указывает</w:t>
      </w:r>
      <w:r>
        <w:t xml:space="preserve"> </w:t>
      </w:r>
      <w:r>
        <w:t xml:space="preserve">на высокое согласие между предсказаниями и истинными значениями</w:t>
      </w:r>
      <w:r>
        <w:t xml:space="preserve"> </w:t>
      </w:r>
      <w:r>
        <w:t xml:space="preserve">(количество истинно положительных и отрицательных результатов). Тест</w:t>
      </w:r>
      <w:r>
        <w:t xml:space="preserve"> </w:t>
      </w:r>
      <w:r>
        <w:t xml:space="preserve">Макнемара составил 0.07 показывает, что метод не имеет существенно</w:t>
      </w:r>
      <w:r>
        <w:t xml:space="preserve"> </w:t>
      </w:r>
      <w:r>
        <w:t xml:space="preserve">отличную от контрольного метода частоту ошибок (количество</w:t>
      </w:r>
      <w:r>
        <w:t xml:space="preserve"> </w:t>
      </w:r>
      <w:r>
        <w:t xml:space="preserve">ложноположительных и ложноотрицательных результатов). Чувствительность</w:t>
      </w:r>
      <w:r>
        <w:t xml:space="preserve"> </w:t>
      </w:r>
      <w:r>
        <w:t xml:space="preserve">метода составила 0.95 . Специфичность метода составила 0.99.</w:t>
      </w:r>
      <w:r>
        <w:t xml:space="preserve"> </w:t>
      </w:r>
      <w:r>
        <w:t xml:space="preserve">Отбалансированная точность метода составила 0.97.</w:t>
      </w:r>
    </w:p>
    <w:p>
      <w:pPr>
        <w:pStyle w:val="BodyText"/>
      </w:pPr>
      <w:r>
        <w:t xml:space="preserve">При оценке УЗИ в выборке пациенток до 40 лет количество истинно верно</w:t>
      </w:r>
      <w:r>
        <w:t xml:space="preserve"> </w:t>
      </w:r>
      <w:r>
        <w:t xml:space="preserve">определенных образований как доброкачественные было 1442 , количество</w:t>
      </w:r>
      <w:r>
        <w:t xml:space="preserve"> </w:t>
      </w:r>
      <w:r>
        <w:t xml:space="preserve">верно определённых образований как злокачественные было 45 , количество</w:t>
      </w:r>
      <w:r>
        <w:t xml:space="preserve"> </w:t>
      </w:r>
      <w:r>
        <w:t xml:space="preserve">неверно определенных образований как злокачественные было 17 и</w:t>
      </w:r>
      <w:r>
        <w:t xml:space="preserve"> </w:t>
      </w:r>
      <w:r>
        <w:t xml:space="preserve">количество неопределенных злокачественных образований как</w:t>
      </w:r>
      <w:r>
        <w:t xml:space="preserve"> </w:t>
      </w:r>
      <w:r>
        <w:t xml:space="preserve">доброкачественные было 7 . Точность метода составила 0.98 [95% ДИ: 0.98</w:t>
      </w:r>
      <w:r>
        <w:t xml:space="preserve"> </w:t>
      </w:r>
      <w:r>
        <w:t xml:space="preserve">, 0.99 ]. P-Value модели составил &lt; 0,01 что означает, что модель</w:t>
      </w:r>
      <w:r>
        <w:t xml:space="preserve"> </w:t>
      </w:r>
      <w:r>
        <w:t xml:space="preserve">отличается от точности нулевой гипотезы. Коэфициент Kappa составил 0.78</w:t>
      </w:r>
      <w:r>
        <w:t xml:space="preserve"> </w:t>
      </w:r>
      <w:r>
        <w:t xml:space="preserve">показывает , что метод указывает на высокое согласие между</w:t>
      </w:r>
      <w:r>
        <w:t xml:space="preserve"> </w:t>
      </w:r>
      <w:r>
        <w:t xml:space="preserve">предсказаниями и истинными значениями (количество истинно положительных</w:t>
      </w:r>
      <w:r>
        <w:t xml:space="preserve"> </w:t>
      </w:r>
      <w:r>
        <w:t xml:space="preserve">и отрицательных результатов). Тест Макнемара составил 0.07 показывает,</w:t>
      </w:r>
      <w:r>
        <w:t xml:space="preserve"> </w:t>
      </w:r>
      <w:r>
        <w:t xml:space="preserve">что метод не имеет существенно отличную от контрольного метода частоту</w:t>
      </w:r>
      <w:r>
        <w:t xml:space="preserve"> </w:t>
      </w:r>
      <w:r>
        <w:t xml:space="preserve">ошибок (количество ложноположительных и ложноотрицательных результатов).</w:t>
      </w:r>
      <w:r>
        <w:t xml:space="preserve"> </w:t>
      </w:r>
      <w:r>
        <w:t xml:space="preserve">Чувствительность метода составила 0.87 . Специфичность метода составила</w:t>
      </w:r>
      <w:r>
        <w:t xml:space="preserve"> </w:t>
      </w:r>
      <w:r>
        <w:t xml:space="preserve">0.99. Отбалансированная точность метода составила 0.93. (Таблица №2)</w:t>
      </w:r>
    </w:p>
    <w:p>
      <w:pPr>
        <w:pStyle w:val="BodyText"/>
      </w:pPr>
      <w:r>
        <w:t xml:space="preserve">Таблица №2. Определение точности, P-уровня значимости модели, коэфициент</w:t>
      </w:r>
      <w:r>
        <w:t xml:space="preserve"> </w:t>
      </w:r>
      <w:r>
        <w:t xml:space="preserve">Kappa, Тест Макнемара, чувствительности, специфичности и</w:t>
      </w:r>
      <w:r>
        <w:t xml:space="preserve"> </w:t>
      </w:r>
      <w:r>
        <w:t xml:space="preserve">отбалансированной точности в группах А и B. (Т -Точность, P - P-Value,</w:t>
      </w:r>
      <w:r>
        <w:t xml:space="preserve"> </w:t>
      </w:r>
      <w:r>
        <w:t xml:space="preserve">КК - Коэффициент Kappa, ТМ -Тест Макнемара, Ч-Чувствительность, Сп</w:t>
      </w:r>
      <w:r>
        <w:t xml:space="preserve"> </w:t>
      </w:r>
      <w:r>
        <w:t xml:space="preserve">-Специфичность, ОТ- Отбалансированная точность)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группе 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[95% ДИ: 0.98 , 1 ].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группе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 [95% ДИ: 0.96 , 0.99 ].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 в группе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 [95% ДИ: 0.97 , 0.99 ].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выборке пациенток до 40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 [95% ДИ: 0.98 , 0.99 ].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</w:tbl>
    <w:p>
      <w:pPr>
        <w:pStyle w:val="BodyText"/>
      </w:pPr>
      <w:r>
        <w:rPr>
          <w:iCs/>
          <w:i/>
        </w:rPr>
        <w:t xml:space="preserve">Прогностическая оценка методов</w:t>
      </w:r>
    </w:p>
    <w:p>
      <w:pPr>
        <w:pStyle w:val="BodyText"/>
      </w:pPr>
      <w:r>
        <w:t xml:space="preserve">На основании полученных данных, пыла построена предсказательная модель</w:t>
      </w:r>
      <w:r>
        <w:t xml:space="preserve"> </w:t>
      </w:r>
      <w:r>
        <w:t xml:space="preserve">изучаемых методов. ROC-кривая предсказательной модели для метода УЗИ, по</w:t>
      </w:r>
      <w:r>
        <w:t xml:space="preserve"> </w:t>
      </w:r>
      <w:r>
        <w:t xml:space="preserve">данным полученным в группе A представлена на рисунке № 2а. Площадь под</w:t>
      </w:r>
      <w:r>
        <w:t xml:space="preserve"> </w:t>
      </w:r>
      <w:r>
        <w:t xml:space="preserve">кривой (AUC- area under cruve) составила: 0.947 95% ДИ: 0.894 - 1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g/pROC_obj_usGr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№2а. ROC-кривая предсказательной модели для метода УЗИ, по</w:t>
      </w:r>
      <w:r>
        <w:t xml:space="preserve"> </w:t>
      </w:r>
      <w:r>
        <w:t xml:space="preserve">данным полученным в группе A. ROC-кривая предсказательной модели для</w:t>
      </w:r>
      <w:r>
        <w:t xml:space="preserve"> </w:t>
      </w:r>
      <w:r>
        <w:t xml:space="preserve">метода УЗИ, по данным полученным в группе B представлена на рисунке №</w:t>
      </w:r>
      <w:r>
        <w:t xml:space="preserve"> </w:t>
      </w:r>
      <w:r>
        <w:t xml:space="preserve">2б. Площадь под кривой (AUC- area under cruve) составила: 0.903 95% ДИ:</w:t>
      </w:r>
      <w:r>
        <w:t xml:space="preserve"> </w:t>
      </w:r>
      <w:r>
        <w:t xml:space="preserve">0.82 - 0.986.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g/pROC_obj_usGr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№2б. ROC-кривая предсказательной модели для метода УЗИ, по</w:t>
      </w:r>
      <w:r>
        <w:t xml:space="preserve"> </w:t>
      </w:r>
      <w:r>
        <w:t xml:space="preserve">данным полученным в группе B. ROC-кривая предсказательной модели для</w:t>
      </w:r>
      <w:r>
        <w:t xml:space="preserve"> </w:t>
      </w:r>
      <w:r>
        <w:t xml:space="preserve">метода ABUS, по данным полученным в группе B представлена на рисунке №</w:t>
      </w:r>
      <w:r>
        <w:t xml:space="preserve"> </w:t>
      </w:r>
      <w:r>
        <w:t xml:space="preserve">2в. Площадь под кривой (AUC- area under cruve) составила: 0.968 95% ДИ:</w:t>
      </w:r>
      <w:r>
        <w:t xml:space="preserve"> </w:t>
      </w:r>
      <w:r>
        <w:t xml:space="preserve">0.925 - 1</w:t>
      </w:r>
      <w:r>
        <w:t xml:space="preserve"> </w:t>
      </w:r>
      <w:r>
        <w:drawing>
          <wp:inline>
            <wp:extent cx="5334000" cy="33337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g/pROC_obj_abusGr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№2в. ROC-кривая предсказательной модели для метода ABUS, по</w:t>
      </w:r>
      <w:r>
        <w:t xml:space="preserve"> </w:t>
      </w:r>
      <w:r>
        <w:t xml:space="preserve">данным полученным в группе B. ROC-кривая предсказательной модели для</w:t>
      </w:r>
      <w:r>
        <w:t xml:space="preserve"> </w:t>
      </w:r>
      <w:r>
        <w:t xml:space="preserve">метода УЗИ, по данным полученным в выборке пациенток до 40 лет</w:t>
      </w:r>
      <w:r>
        <w:t xml:space="preserve"> </w:t>
      </w:r>
      <w:r>
        <w:t xml:space="preserve">представлена на рисунке № 2г. Площадь под кривой (AUC- area under cruve)</w:t>
      </w:r>
      <w:r>
        <w:t xml:space="preserve"> </w:t>
      </w:r>
      <w:r>
        <w:t xml:space="preserve">составила: 0.916 95% ДИ: 0.853 - 0.979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g/pROC_obj_usJu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№2г. ROC-кривая предсказательной модели для метода УЗИ, по</w:t>
      </w:r>
      <w:r>
        <w:t xml:space="preserve"> </w:t>
      </w:r>
      <w:r>
        <w:t xml:space="preserve">данным полученным в выборке пациенток до 40 лет.</w:t>
      </w:r>
    </w:p>
    <w:p>
      <w:pPr>
        <w:pStyle w:val="BodyText"/>
      </w:pPr>
      <w:r>
        <w:t xml:space="preserve">Таблица №3.</w:t>
      </w:r>
    </w:p>
    <w:p>
      <w:pPr>
        <w:pStyle w:val="BodyText"/>
      </w:pPr>
      <w:r>
        <w:t xml:space="preserve">Определение площади под кривой представленных предсказательных моделей</w:t>
      </w:r>
      <w:r>
        <w:t xml:space="preserve"> </w:t>
      </w:r>
      <w:r>
        <w:t xml:space="preserve">метода в группах А и B.</w:t>
      </w:r>
      <w:r>
        <w:br/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Площадь под кривой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группе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 95% ДИ: 0.894 - 1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группе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 95% ДИ: 0.82 - 0.986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выборке пациенток до 40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 95% ДИ: 0.853 - 0.979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 в группе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 95% ДИ: 0.925 - 1</w:t>
            </w:r>
          </w:p>
        </w:tc>
      </w:tr>
    </w:tbl>
    <w:bookmarkEnd w:id="45"/>
    <w:bookmarkStart w:id="46" w:name="дисскусия"/>
    <w:p>
      <w:pPr>
        <w:pStyle w:val="Heading2"/>
      </w:pPr>
      <w:r>
        <w:t xml:space="preserve">Дисскусия</w:t>
      </w:r>
    </w:p>
    <w:p>
      <w:pPr>
        <w:pStyle w:val="FirstParagraph"/>
      </w:pPr>
      <w:r>
        <w:t xml:space="preserve">На базе нашего дигностического центра получилось достаточное по обхему</w:t>
      </w:r>
      <w:r>
        <w:t xml:space="preserve"> </w:t>
      </w:r>
      <w:r>
        <w:t xml:space="preserve">выборок исследование для определния диагностической эффективности. Мы</w:t>
      </w:r>
      <w:r>
        <w:t xml:space="preserve"> </w:t>
      </w:r>
      <w:r>
        <w:t xml:space="preserve">определили, что ABUS имеет более высокую чувтвительность и</w:t>
      </w:r>
      <w:r>
        <w:t xml:space="preserve"> </w:t>
      </w:r>
      <w:r>
        <w:t xml:space="preserve">отбалансированную точность и сопоставимую специфичность по сравнению с</w:t>
      </w:r>
      <w:r>
        <w:t xml:space="preserve"> </w:t>
      </w:r>
      <w:r>
        <w:t xml:space="preserve">выполнением УЗИ. Наше исследование имело специфику раннего выявления</w:t>
      </w:r>
      <w:r>
        <w:t xml:space="preserve"> </w:t>
      </w:r>
      <w:r>
        <w:t xml:space="preserve">рака молочной жедезы в выборке пациенток до 40 лет.</w:t>
      </w:r>
    </w:p>
    <w:p>
      <w:pPr>
        <w:pStyle w:val="BodyText"/>
      </w:pPr>
      <w:r>
        <w:t xml:space="preserve">По оценкам, в США зарегистрировано 12 150 случаев рака молочной железы.</w:t>
      </w:r>
      <w:r>
        <w:t xml:space="preserve"> </w:t>
      </w:r>
      <w:r>
        <w:t xml:space="preserve">Состояния будут диагностировать у женщин в возрасте до 40 лет, а</w:t>
      </w:r>
      <w:r>
        <w:t xml:space="preserve"> </w:t>
      </w:r>
      <w:r>
        <w:t xml:space="preserve">примерно 26 393 будут у женщин в возрасте до 45 лет.</w:t>
      </w:r>
      <w:r>
        <w:t xml:space="preserve"> </w:t>
      </w:r>
      <w:r>
        <w:t xml:space="preserve">[11]</w:t>
      </w:r>
      <w:r>
        <w:t xml:space="preserve">. Ежегодно умирает более 1000 женщин в возрасте до</w:t>
      </w:r>
      <w:r>
        <w:t xml:space="preserve"> </w:t>
      </w:r>
      <w:r>
        <w:t xml:space="preserve">40 лет. в США от рака молочной железы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Раннее выявление снижает смертность среди женщин с раком молочной железы</w:t>
      </w:r>
      <w:r>
        <w:t xml:space="preserve"> </w:t>
      </w:r>
      <w:r>
        <w:t xml:space="preserve">[13]</w:t>
      </w:r>
      <w:r>
        <w:t xml:space="preserve">. В настоящее время ACR рекомендует ежегодно</w:t>
      </w:r>
      <w:r>
        <w:t xml:space="preserve"> </w:t>
      </w:r>
      <w:r>
        <w:t xml:space="preserve">маммографический скрининг, начиная с 40 лет для женщины со средним</w:t>
      </w:r>
      <w:r>
        <w:t xml:space="preserve"> </w:t>
      </w:r>
      <w:r>
        <w:t xml:space="preserve">риском развития рака молочной железы, на основании обширного обзора</w:t>
      </w:r>
      <w:r>
        <w:t xml:space="preserve"> </w:t>
      </w:r>
      <w:r>
        <w:t xml:space="preserve">литературы</w:t>
      </w:r>
      <w:r>
        <w:t xml:space="preserve"> </w:t>
      </w:r>
      <w:r>
        <w:t xml:space="preserve">[13]</w:t>
      </w:r>
      <w:r>
        <w:t xml:space="preserve">. Женщины с дополнительными факторами</w:t>
      </w:r>
      <w:r>
        <w:t xml:space="preserve"> </w:t>
      </w:r>
      <w:r>
        <w:t xml:space="preserve">риска, подвергающие их риску выше среднего развивающийся рак молочной</w:t>
      </w:r>
      <w:r>
        <w:t xml:space="preserve"> </w:t>
      </w:r>
      <w:r>
        <w:t xml:space="preserve">железы требует дальнейшего рассмотрения более ранний и/или более</w:t>
      </w:r>
      <w:r>
        <w:t xml:space="preserve"> </w:t>
      </w:r>
      <w:r>
        <w:t xml:space="preserve">интенсивный скрининг</w:t>
      </w:r>
      <w:r>
        <w:t xml:space="preserve"> </w:t>
      </w:r>
      <w:r>
        <w:t xml:space="preserve">[13]</w:t>
      </w:r>
      <w:r>
        <w:t xml:space="preserve">. Эти женщины в возрасте &lt; 40</w:t>
      </w:r>
      <w:r>
        <w:t xml:space="preserve"> </w:t>
      </w:r>
      <w:r>
        <w:t xml:space="preserve">лет обычно имеют эквивалентный риск до или выше, чем у женщины среднего</w:t>
      </w:r>
      <w:r>
        <w:t xml:space="preserve"> </w:t>
      </w:r>
      <w:r>
        <w:t xml:space="preserve">риска в возрасте 40 лет.</w:t>
      </w:r>
    </w:p>
    <w:p>
      <w:pPr>
        <w:pStyle w:val="BodyText"/>
      </w:pPr>
      <w:r>
        <w:t xml:space="preserve">На сегодняшний день существуют перимущественно зарубежные исследования,</w:t>
      </w:r>
      <w:r>
        <w:t xml:space="preserve"> </w:t>
      </w:r>
      <w:r>
        <w:t xml:space="preserve">продемонстрировали аналогичную диагностическую эффективность ABUS по</w:t>
      </w:r>
      <w:r>
        <w:t xml:space="preserve"> </w:t>
      </w:r>
      <w:r>
        <w:t xml:space="preserve">сравнению с УЗИ, но в целом общие результаты были противоречивыми. В</w:t>
      </w:r>
      <w:r>
        <w:t xml:space="preserve"> </w:t>
      </w:r>
      <w:r>
        <w:t xml:space="preserve">некоторых исследованиях сообщалось, что ABUS имеет более высокую</w:t>
      </w:r>
      <w:r>
        <w:t xml:space="preserve"> </w:t>
      </w:r>
      <w:r>
        <w:t xml:space="preserve">чувствительность от 95 до 100% и более низкую специфичность от 58 до 95%</w:t>
      </w:r>
      <w:r>
        <w:t xml:space="preserve"> </w:t>
      </w:r>
      <w:r>
        <w:t xml:space="preserve">[14–16]</w:t>
      </w:r>
      <w:r>
        <w:t xml:space="preserve">. Напротив, другие показали,</w:t>
      </w:r>
      <w:r>
        <w:t xml:space="preserve"> </w:t>
      </w:r>
      <w:r>
        <w:t xml:space="preserve">что УЗИ продемонстрировал превосходную чувствительность , в то время как</w:t>
      </w:r>
      <w:r>
        <w:t xml:space="preserve"> </w:t>
      </w:r>
      <w:r>
        <w:t xml:space="preserve">ABUS продемонстрировал несколько более высокую специфичность</w:t>
      </w:r>
      <w:r>
        <w:t xml:space="preserve"> </w:t>
      </w:r>
      <w:r>
        <w:t xml:space="preserve">[17,18]</w:t>
      </w:r>
      <w:r>
        <w:t xml:space="preserve">.</w:t>
      </w:r>
    </w:p>
    <w:p>
      <w:pPr>
        <w:pStyle w:val="BodyText"/>
      </w:pPr>
      <w:r>
        <w:t xml:space="preserve">В некоторых исследованиях авторы указывают две причины более низкой</w:t>
      </w:r>
      <w:r>
        <w:t xml:space="preserve"> </w:t>
      </w:r>
      <w:r>
        <w:t xml:space="preserve">чувствительности ABUS. Во-первых, у рентгенологов было мало опыта</w:t>
      </w:r>
      <w:r>
        <w:t xml:space="preserve"> </w:t>
      </w:r>
      <w:r>
        <w:t xml:space="preserve">интерпретации изображений ABUS</w:t>
      </w:r>
      <w:r>
        <w:t xml:space="preserve"> </w:t>
      </w:r>
      <w:r>
        <w:t xml:space="preserve">[19,20]</w:t>
      </w:r>
      <w:r>
        <w:t xml:space="preserve">. Одно</w:t>
      </w:r>
      <w:r>
        <w:t xml:space="preserve"> </w:t>
      </w:r>
      <w:r>
        <w:t xml:space="preserve">исследование также показало, что все пропущенные рака, пропущенные,</w:t>
      </w:r>
      <w:r>
        <w:t xml:space="preserve"> </w:t>
      </w:r>
      <w:r>
        <w:t xml:space="preserve">можно было продемонстрировать в ретроспективном анализе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Во-вторых, ABUS мог пропустить поражения из-за плохого качества</w:t>
      </w:r>
      <w:r>
        <w:t xml:space="preserve"> </w:t>
      </w:r>
      <w:r>
        <w:t xml:space="preserve">изображения</w:t>
      </w:r>
      <w:r>
        <w:t xml:space="preserve"> </w:t>
      </w:r>
      <w:r>
        <w:t xml:space="preserve">[21]</w:t>
      </w:r>
      <w:r>
        <w:t xml:space="preserve">. В нашем центре можно констатировать, что</w:t>
      </w:r>
      <w:r>
        <w:t xml:space="preserve"> </w:t>
      </w:r>
      <w:r>
        <w:t xml:space="preserve">качество изображений на высоком уровне. Техники группы ABUS прошли</w:t>
      </w:r>
      <w:r>
        <w:t xml:space="preserve"> </w:t>
      </w:r>
      <w:r>
        <w:t xml:space="preserve">достаточную подготовку, чтобы гарантировать качество получения и</w:t>
      </w:r>
      <w:r>
        <w:t xml:space="preserve"> </w:t>
      </w:r>
      <w:r>
        <w:t xml:space="preserve">интерпретации изображений, специалисты УЗИ имеют высокий</w:t>
      </w:r>
      <w:r>
        <w:t xml:space="preserve"> </w:t>
      </w:r>
      <w:r>
        <w:t xml:space="preserve">квалификационный уровень. Можно обратить внимание, что более короткий</w:t>
      </w:r>
      <w:r>
        <w:t xml:space="preserve"> </w:t>
      </w:r>
      <w:r>
        <w:t xml:space="preserve">срок обучения для выполнеия ABUS имеют сопоставимую диагностическую</w:t>
      </w:r>
      <w:r>
        <w:t xml:space="preserve"> </w:t>
      </w:r>
      <w:r>
        <w:t xml:space="preserve">эффективность с выполгнением УЗИ. Это подчеркивает преимущества ABUS</w:t>
      </w:r>
      <w:r>
        <w:t xml:space="preserve"> </w:t>
      </w:r>
      <w:r>
        <w:t xml:space="preserve">перед УЗИ: ABUS менее зависит от оператора и может снизить рабочую</w:t>
      </w:r>
      <w:r>
        <w:t xml:space="preserve"> </w:t>
      </w:r>
      <w:r>
        <w:t xml:space="preserve">нагрузку рентгенологов за счет обучения квалифицированных технических</w:t>
      </w:r>
      <w:r>
        <w:t xml:space="preserve"> </w:t>
      </w:r>
      <w:r>
        <w:t xml:space="preserve">специалистов. Настояще исследование имеет важное ограничение, а именно</w:t>
      </w:r>
      <w:r>
        <w:t xml:space="preserve"> </w:t>
      </w:r>
      <w:r>
        <w:t xml:space="preserve">исследование является одноцентровым. Безусловно требуется проведение</w:t>
      </w:r>
      <w:r>
        <w:t xml:space="preserve"> </w:t>
      </w:r>
      <w:r>
        <w:t xml:space="preserve">многоцентровых исследований с оценко качества проведения подготовки</w:t>
      </w:r>
      <w:r>
        <w:t xml:space="preserve"> </w:t>
      </w:r>
      <w:r>
        <w:t xml:space="preserve">специалистов на всех уровнях проведения диагностки.</w:t>
      </w:r>
    </w:p>
    <w:bookmarkEnd w:id="46"/>
    <w:bookmarkStart w:id="47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Согласно проведенному нами исследованию диагностическая эффективность</w:t>
      </w:r>
      <w:r>
        <w:t xml:space="preserve"> </w:t>
      </w:r>
      <w:r>
        <w:t xml:space="preserve">автоматизированного УЗИ всей молочной железы при раке молочной железы у</w:t>
      </w:r>
      <w:r>
        <w:t xml:space="preserve"> </w:t>
      </w:r>
      <w:r>
        <w:t xml:space="preserve">пациенток до 40 лет достоверно не хуже проведения классического УЗИ</w:t>
      </w:r>
      <w:r>
        <w:t xml:space="preserve"> </w:t>
      </w:r>
      <w:r>
        <w:t xml:space="preserve">исследования.</w:t>
      </w:r>
    </w:p>
    <w:bookmarkEnd w:id="47"/>
    <w:bookmarkStart w:id="89" w:name="список-литературы"/>
    <w:p>
      <w:pPr>
        <w:pStyle w:val="Heading2"/>
      </w:pPr>
      <w:r>
        <w:t xml:space="preserve">Список литературы</w:t>
      </w:r>
    </w:p>
    <w:bookmarkStart w:id="88" w:name="refs"/>
    <w:bookmarkStart w:id="49" w:name="ref-shapira201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Shapira N. The potential contribution of dietary factors to breast cancer prevention.</w:t>
      </w:r>
      <w:r>
        <w:t xml:space="preserve"> </w:t>
      </w:r>
      <w:r>
        <w:rPr>
          <w:iCs/>
          <w:i/>
        </w:rPr>
        <w:t xml:space="preserve">European Journal of Cancer Prevention</w:t>
      </w:r>
      <w:r>
        <w:t xml:space="preserve">. 2017;26(5):385-395. doi:</w:t>
      </w:r>
      <w:hyperlink r:id="rId48">
        <w:r>
          <w:rPr>
            <w:rStyle w:val="Hyperlink"/>
          </w:rPr>
          <w:t xml:space="preserve">10.1097/cej.0000000000000406</w:t>
        </w:r>
      </w:hyperlink>
    </w:p>
    <w:bookmarkEnd w:id="49"/>
    <w:bookmarkStart w:id="50" w:name="ref-kocarnik2022cancer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Kocarnik JM, Compton K, Dean FE, et al. Cancer incidence, mortality, years of life lost, years lived with disability, and disability-adjusted life years for 29 cancer groups from 2010 to 2019: A systematic analysis for the global burden of disease study 2019.</w:t>
      </w:r>
      <w:r>
        <w:t xml:space="preserve"> </w:t>
      </w:r>
      <w:r>
        <w:rPr>
          <w:iCs/>
          <w:i/>
        </w:rPr>
        <w:t xml:space="preserve">JAMA oncology</w:t>
      </w:r>
      <w:r>
        <w:t xml:space="preserve">. 2022;8(3):420-444.</w:t>
      </w:r>
    </w:p>
    <w:bookmarkEnd w:id="50"/>
    <w:bookmarkStart w:id="52" w:name="ref-cathcart-rake2021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Cathcart-Rake EJ, Ruddy KJ, Bleyer A, Johnson RH. Breast Cancer in Adolescent and Young Adult Women Under the Age of 40 Years.</w:t>
      </w:r>
      <w:r>
        <w:t xml:space="preserve"> </w:t>
      </w:r>
      <w:r>
        <w:rPr>
          <w:iCs/>
          <w:i/>
        </w:rPr>
        <w:t xml:space="preserve">JCO Oncology Practice</w:t>
      </w:r>
      <w:r>
        <w:t xml:space="preserve">. 2021;17(6):305-313. doi:</w:t>
      </w:r>
      <w:hyperlink r:id="rId51">
        <w:r>
          <w:rPr>
            <w:rStyle w:val="Hyperlink"/>
          </w:rPr>
          <w:t xml:space="preserve">10.1200/op.20.00793</w:t>
        </w:r>
      </w:hyperlink>
    </w:p>
    <w:bookmarkEnd w:id="52"/>
    <w:bookmarkStart w:id="54" w:name="ref-desreux2018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Desreux JAC. Breast cancer screening in young women.</w:t>
      </w:r>
      <w:r>
        <w:t xml:space="preserve"> </w:t>
      </w:r>
      <w:r>
        <w:rPr>
          <w:iCs/>
          <w:i/>
        </w:rPr>
        <w:t xml:space="preserve">European Journal of Obstetrics &amp; Gynecology and Reproductive Biology</w:t>
      </w:r>
      <w:r>
        <w:t xml:space="preserve">. 2018;230:208-211. doi:</w:t>
      </w:r>
      <w:hyperlink r:id="rId53">
        <w:r>
          <w:rPr>
            <w:rStyle w:val="Hyperlink"/>
          </w:rPr>
          <w:t xml:space="preserve">10.1016/j.ejogrb.2018.05.018</w:t>
        </w:r>
      </w:hyperlink>
    </w:p>
    <w:bookmarkEnd w:id="54"/>
    <w:bookmarkStart w:id="56" w:name="ref-nazari2018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Nazari SS, Mukherjee P. An overview of mammographic density and its association with breast cancer.</w:t>
      </w:r>
      <w:r>
        <w:t xml:space="preserve"> </w:t>
      </w:r>
      <w:r>
        <w:rPr>
          <w:iCs/>
          <w:i/>
        </w:rPr>
        <w:t xml:space="preserve">Breast Cancer</w:t>
      </w:r>
      <w:r>
        <w:t xml:space="preserve">. 2018;25(3):259-267. doi:</w:t>
      </w:r>
      <w:hyperlink r:id="rId55">
        <w:r>
          <w:rPr>
            <w:rStyle w:val="Hyperlink"/>
          </w:rPr>
          <w:t xml:space="preserve">10.1007/s12282-018-0857-5</w:t>
        </w:r>
      </w:hyperlink>
    </w:p>
    <w:bookmarkEnd w:id="56"/>
    <w:bookmarkStart w:id="58" w:name="ref-scheel2015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Scheel JR, Lee JM, Sprague BL, Lee CI, Lehman CD. Screening ultrasound as an adjunct to mammography in women with mammographically dense breasts.</w:t>
      </w:r>
      <w:r>
        <w:t xml:space="preserve"> </w:t>
      </w:r>
      <w:r>
        <w:rPr>
          <w:iCs/>
          <w:i/>
        </w:rPr>
        <w:t xml:space="preserve">American Journal of Obstetrics and Gynecology</w:t>
      </w:r>
      <w:r>
        <w:t xml:space="preserve">. 2015;212(1):9-17. doi:</w:t>
      </w:r>
      <w:hyperlink r:id="rId57">
        <w:r>
          <w:rPr>
            <w:rStyle w:val="Hyperlink"/>
          </w:rPr>
          <w:t xml:space="preserve">10.1016/j.ajog.2014.06.048</w:t>
        </w:r>
      </w:hyperlink>
    </w:p>
    <w:bookmarkEnd w:id="58"/>
    <w:bookmarkStart w:id="60" w:name="ref-jorgensen2010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Jorgensen KJ, Zahl P-H, Gotzsche PC. Breast cancer mortality in organised mammography screening in Denmark: comparative study.</w:t>
      </w:r>
      <w:r>
        <w:t xml:space="preserve"> </w:t>
      </w:r>
      <w:r>
        <w:rPr>
          <w:iCs/>
          <w:i/>
        </w:rPr>
        <w:t xml:space="preserve">BMJ</w:t>
      </w:r>
      <w:r>
        <w:t xml:space="preserve">. 2010;340(mar23 1):c1241-c1241. doi:</w:t>
      </w:r>
      <w:hyperlink r:id="rId59">
        <w:r>
          <w:rPr>
            <w:rStyle w:val="Hyperlink"/>
          </w:rPr>
          <w:t xml:space="preserve">10.1136/bmj.c1241</w:t>
        </w:r>
      </w:hyperlink>
    </w:p>
    <w:bookmarkEnd w:id="60"/>
    <w:bookmarkStart w:id="62" w:name="ref-rebolj2018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Rebolj M, Assi V, Brentnall A, Parmar D, Duffy SW. Addition of ultrasound to mammography in the case of dense breast tissue: systematic review and meta-analysis.</w:t>
      </w:r>
      <w:r>
        <w:t xml:space="preserve"> </w:t>
      </w:r>
      <w:r>
        <w:rPr>
          <w:iCs/>
          <w:i/>
        </w:rPr>
        <w:t xml:space="preserve">British Journal of Cancer</w:t>
      </w:r>
      <w:r>
        <w:t xml:space="preserve">. 2018;118(12):1559-1570. doi:</w:t>
      </w:r>
      <w:hyperlink r:id="rId61">
        <w:r>
          <w:rPr>
            <w:rStyle w:val="Hyperlink"/>
          </w:rPr>
          <w:t xml:space="preserve">10.1038/s41416-018-0080-3</w:t>
        </w:r>
      </w:hyperlink>
    </w:p>
    <w:bookmarkEnd w:id="62"/>
    <w:bookmarkStart w:id="64" w:name="ref-vourtsis2017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Vourtsis A, Kachulis A. The performance of 3D ABUS versus HHUS in the visualisation and BI-RADS characterisation of breast lesions in a large cohort of 1,886 women.</w:t>
      </w:r>
      <w:r>
        <w:t xml:space="preserve"> </w:t>
      </w:r>
      <w:r>
        <w:rPr>
          <w:iCs/>
          <w:i/>
        </w:rPr>
        <w:t xml:space="preserve">European Radiology</w:t>
      </w:r>
      <w:r>
        <w:t xml:space="preserve">. 2017;28(2):592-601. doi:</w:t>
      </w:r>
      <w:hyperlink r:id="rId63">
        <w:r>
          <w:rPr>
            <w:rStyle w:val="Hyperlink"/>
          </w:rPr>
          <w:t xml:space="preserve">10.1007/s00330-017-5011-9</w:t>
        </w:r>
      </w:hyperlink>
    </w:p>
    <w:bookmarkEnd w:id="64"/>
    <w:bookmarkStart w:id="66" w:name="ref-xin2021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Xin Y, Zhang X, Yang Y, et al. A multicenter, hospital-based and non-inferiority study for diagnostic efficacy of automated whole breast ultrasound for breast cancer in China.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. 2021;11(1). doi:</w:t>
      </w:r>
      <w:hyperlink r:id="rId65">
        <w:r>
          <w:rPr>
            <w:rStyle w:val="Hyperlink"/>
          </w:rPr>
          <w:t xml:space="preserve">10.1038/s41598-021-93350-1</w:t>
        </w:r>
      </w:hyperlink>
    </w:p>
    <w:bookmarkEnd w:id="66"/>
    <w:bookmarkStart w:id="67" w:name="ref-kaminsky2019young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Kaminsky O, Zilbermints V, Sharon E, Aranovich D, et al. Young woman in the breast clinic: Ultrasound or not?</w:t>
      </w:r>
      <w:r>
        <w:t xml:space="preserve"> </w:t>
      </w:r>
      <w:r>
        <w:rPr>
          <w:iCs/>
          <w:i/>
        </w:rPr>
        <w:t xml:space="preserve">The Israel Medical Association Journal: IMAJ</w:t>
      </w:r>
      <w:r>
        <w:t xml:space="preserve">. 2019;21(9):612-614.</w:t>
      </w:r>
    </w:p>
    <w:bookmarkEnd w:id="67"/>
    <w:bookmarkStart w:id="69" w:name="ref-anders2011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Anders CK, Fan C, Parker JS, et al. Breast Carcinomas Arising at a Young Age: Unique Biology or a Surrogate for Aggressive Intrinsic Subtypes?</w:t>
      </w:r>
      <w:r>
        <w:t xml:space="preserve"> </w:t>
      </w:r>
      <w:r>
        <w:rPr>
          <w:iCs/>
          <w:i/>
        </w:rPr>
        <w:t xml:space="preserve">Journal of Clinical Oncology</w:t>
      </w:r>
      <w:r>
        <w:t xml:space="preserve">. 2011;29(1):e18-e20. doi:</w:t>
      </w:r>
      <w:hyperlink r:id="rId68">
        <w:r>
          <w:rPr>
            <w:rStyle w:val="Hyperlink"/>
          </w:rPr>
          <w:t xml:space="preserve">10.1200/jco.2010.28.9199</w:t>
        </w:r>
      </w:hyperlink>
    </w:p>
    <w:bookmarkEnd w:id="69"/>
    <w:bookmarkStart w:id="71" w:name="ref-monticciolo2018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Monticciolo DL, Newell MS, Moy L, Niell B, Monsees B, Sickles EA. Breast Cancer Screening in Women at Higher-Than-Average Risk: Recommendations From the ACR.</w:t>
      </w:r>
      <w:r>
        <w:t xml:space="preserve"> </w:t>
      </w:r>
      <w:r>
        <w:rPr>
          <w:iCs/>
          <w:i/>
        </w:rPr>
        <w:t xml:space="preserve">Journal of the American College of Radiology</w:t>
      </w:r>
      <w:r>
        <w:t xml:space="preserve">. 2018;15(3):408-414. doi:</w:t>
      </w:r>
      <w:hyperlink r:id="rId70">
        <w:r>
          <w:rPr>
            <w:rStyle w:val="Hyperlink"/>
          </w:rPr>
          <w:t xml:space="preserve">10.1016/j.jacr.2017.11.034</w:t>
        </w:r>
      </w:hyperlink>
    </w:p>
    <w:bookmarkEnd w:id="71"/>
    <w:bookmarkStart w:id="73" w:name="ref-lin2012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Lin X, Wang J, Han F, Fu J, Li A. Analysis of eighty-one cases with breast lesions using automated breast volume scanner and comparison with handheld ultrasound.</w:t>
      </w:r>
      <w:r>
        <w:t xml:space="preserve"> </w:t>
      </w:r>
      <w:r>
        <w:rPr>
          <w:iCs/>
          <w:i/>
        </w:rPr>
        <w:t xml:space="preserve">European Journal of Radiology</w:t>
      </w:r>
      <w:r>
        <w:t xml:space="preserve">. 2012;81(5):873-878. doi:</w:t>
      </w:r>
      <w:hyperlink r:id="rId72">
        <w:r>
          <w:rPr>
            <w:rStyle w:val="Hyperlink"/>
          </w:rPr>
          <w:t xml:space="preserve">10.1016/j.ejrad.2011.02.038</w:t>
        </w:r>
      </w:hyperlink>
    </w:p>
    <w:bookmarkEnd w:id="73"/>
    <w:bookmarkStart w:id="75" w:name="ref-wang2012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Wang HY, Jiang YX, Zhu QL, et al. Differentiation of benign and malignant breast lesions: A comparison between automatically generated breast volume scans and handheld ultrasound examinations.</w:t>
      </w:r>
      <w:r>
        <w:t xml:space="preserve"> </w:t>
      </w:r>
      <w:r>
        <w:rPr>
          <w:iCs/>
          <w:i/>
        </w:rPr>
        <w:t xml:space="preserve">European Journal of Radiology</w:t>
      </w:r>
      <w:r>
        <w:t xml:space="preserve">. 2012;81(11):3190-3200. doi:</w:t>
      </w:r>
      <w:hyperlink r:id="rId74">
        <w:r>
          <w:rPr>
            <w:rStyle w:val="Hyperlink"/>
          </w:rPr>
          <w:t xml:space="preserve">10.1016/j.ejrad.2012.01.034</w:t>
        </w:r>
      </w:hyperlink>
    </w:p>
    <w:bookmarkEnd w:id="75"/>
    <w:bookmarkStart w:id="77" w:name="ref-kotsianos-hermle2009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Kotsianos-Hermle D, Wirth S, Fischer T, Hiltawsky KM, Reiser M. First clinical use of a standardized three-dimensional ultrasound for breast imaging.</w:t>
      </w:r>
      <w:r>
        <w:t xml:space="preserve"> </w:t>
      </w:r>
      <w:r>
        <w:rPr>
          <w:iCs/>
          <w:i/>
        </w:rPr>
        <w:t xml:space="preserve">European Journal of Radiology</w:t>
      </w:r>
      <w:r>
        <w:t xml:space="preserve">. 2009;71(1):102-108. doi:</w:t>
      </w:r>
      <w:hyperlink r:id="rId76">
        <w:r>
          <w:rPr>
            <w:rStyle w:val="Hyperlink"/>
          </w:rPr>
          <w:t xml:space="preserve">10.1016/j.ejrad.2008.04.002</w:t>
        </w:r>
      </w:hyperlink>
    </w:p>
    <w:bookmarkEnd w:id="77"/>
    <w:bookmarkStart w:id="79" w:name="ref-kim2013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Kim SH, Kang BJ, Choi BG, et al. Radiologists’ Performance for Detecting Lesions and the Interobserver Variability of Automated Whole Breast Ultrasound.</w:t>
      </w:r>
      <w:r>
        <w:t xml:space="preserve"> </w:t>
      </w:r>
      <w:r>
        <w:rPr>
          <w:iCs/>
          <w:i/>
        </w:rPr>
        <w:t xml:space="preserve">Korean Journal of Radiology</w:t>
      </w:r>
      <w:r>
        <w:t xml:space="preserve">. 2013;14(2):154. doi:</w:t>
      </w:r>
      <w:hyperlink r:id="rId78">
        <w:r>
          <w:rPr>
            <w:rStyle w:val="Hyperlink"/>
          </w:rPr>
          <w:t xml:space="preserve">10.3348/kjr.2013.14.2.154</w:t>
        </w:r>
      </w:hyperlink>
    </w:p>
    <w:bookmarkEnd w:id="79"/>
    <w:bookmarkStart w:id="81" w:name="ref-prosch2011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Prosch H, Halbwachs C, Strobl C, et al. Automatisierter Brustultraschall vs. handgeführter Brustultraschall: BI-RADS-Einstufung, Untersuchungsdauer und Erlebnisqualität der Untersuchung.</w:t>
      </w:r>
      <w:r>
        <w:t xml:space="preserve"> </w:t>
      </w:r>
      <w:r>
        <w:rPr>
          <w:iCs/>
          <w:i/>
        </w:rPr>
        <w:t xml:space="preserve">Ultraschall in der Medizin - European Journal of Ultrasound</w:t>
      </w:r>
      <w:r>
        <w:t xml:space="preserve">. 2011;32(05):504-510. doi:</w:t>
      </w:r>
      <w:hyperlink r:id="rId80">
        <w:r>
          <w:rPr>
            <w:rStyle w:val="Hyperlink"/>
          </w:rPr>
          <w:t xml:space="preserve">10.1055/s-0031-1273414</w:t>
        </w:r>
      </w:hyperlink>
    </w:p>
    <w:bookmarkEnd w:id="81"/>
    <w:bookmarkStart w:id="83" w:name="ref-skaane2015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Skaane P, Gullien R, Eben EB, Sandhaug M, Schulz-Wendtland R, Stoeblen F. Interpretation of automated breast ultrasound (ABUS) with and without knowledge of mammography: a reader performance study.</w:t>
      </w:r>
      <w:r>
        <w:t xml:space="preserve"> </w:t>
      </w:r>
      <w:r>
        <w:rPr>
          <w:iCs/>
          <w:i/>
        </w:rPr>
        <w:t xml:space="preserve">Acta Radiologica</w:t>
      </w:r>
      <w:r>
        <w:t xml:space="preserve">. 2015;56(4):404-412. doi:</w:t>
      </w:r>
      <w:hyperlink r:id="rId82">
        <w:r>
          <w:rPr>
            <w:rStyle w:val="Hyperlink"/>
          </w:rPr>
          <w:t xml:space="preserve">10.1177/0284185114528835</w:t>
        </w:r>
      </w:hyperlink>
    </w:p>
    <w:bookmarkEnd w:id="83"/>
    <w:bookmarkStart w:id="85" w:name="ref-chen2013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Chen L, Chen Y, Diao XH, et al. Comparative Study of Automated Breast 3-D Ultrasound and Handheld B-Mode Ultrasound for Differentiation of Benign and Malignant Breast Masses.</w:t>
      </w:r>
      <w:r>
        <w:t xml:space="preserve"> </w:t>
      </w:r>
      <w:r>
        <w:rPr>
          <w:iCs/>
          <w:i/>
        </w:rPr>
        <w:t xml:space="preserve">Ultrasound in Medicine &amp; Biology</w:t>
      </w:r>
      <w:r>
        <w:t xml:space="preserve">. 2013;39(10):1735-1742. doi:</w:t>
      </w:r>
      <w:hyperlink r:id="rId84">
        <w:r>
          <w:rPr>
            <w:rStyle w:val="Hyperlink"/>
          </w:rPr>
          <w:t xml:space="preserve">10.1016/j.ultrasmedbio.2013.04.003</w:t>
        </w:r>
      </w:hyperlink>
    </w:p>
    <w:bookmarkEnd w:id="85"/>
    <w:bookmarkStart w:id="87" w:name="ref-lin2020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Lin X, Jia M, Zhou X, et al. The diagnostic performance of automated versus handheld breast ultrasound and mammography in symptomatic outpatient women: a multicenter, cross-sectional study in China.</w:t>
      </w:r>
      <w:r>
        <w:t xml:space="preserve"> </w:t>
      </w:r>
      <w:r>
        <w:rPr>
          <w:iCs/>
          <w:i/>
        </w:rPr>
        <w:t xml:space="preserve">European Radiology</w:t>
      </w:r>
      <w:r>
        <w:t xml:space="preserve">. 2020;31(2):947-957. doi:</w:t>
      </w:r>
      <w:hyperlink r:id="rId86">
        <w:r>
          <w:rPr>
            <w:rStyle w:val="Hyperlink"/>
          </w:rPr>
          <w:t xml:space="preserve">10.1007/s00330-020-07197-7</w:t>
        </w:r>
      </w:hyperlink>
    </w:p>
    <w:bookmarkEnd w:id="87"/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ПиМЖ - подростки и молодые женщины, термен является точным</w:t>
      </w:r>
      <w:r>
        <w:t xml:space="preserve"> </w:t>
      </w:r>
      <w:r>
        <w:t xml:space="preserve">переводом</w:t>
      </w:r>
      <w:r>
        <w:t xml:space="preserve"> </w:t>
      </w:r>
      <w:r>
        <w:t xml:space="preserve">“</w:t>
      </w:r>
      <w:r>
        <w:t xml:space="preserve">adolescent and young adults</w:t>
      </w:r>
      <w:r>
        <w:t xml:space="preserve">”</w:t>
      </w:r>
      <w:r>
        <w:t xml:space="preserve">, термин используется в</w:t>
      </w:r>
      <w:r>
        <w:t xml:space="preserve"> </w:t>
      </w:r>
      <w:r>
        <w:t xml:space="preserve">ангоязычной литертуре, в частности в публикациях системы</w:t>
      </w:r>
      <w:r>
        <w:t xml:space="preserve"> </w:t>
      </w:r>
      <w:r>
        <w:t xml:space="preserve">здравоохранения США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УЗИ - ручного ультразвуковое исследование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ММГ - маммография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ABUS - автоматизированное объемное УЗИ сканирования молочных желез</w:t>
      </w:r>
      <w:r>
        <w:t xml:space="preserve"> </w:t>
      </w:r>
      <w:r>
        <w:t xml:space="preserve">от англ.</w:t>
      </w:r>
      <w:r>
        <w:t xml:space="preserve"> </w:t>
      </w:r>
      <w:r>
        <w:t xml:space="preserve">“</w:t>
      </w:r>
      <w:r>
        <w:t xml:space="preserve">3D automated breast ultrasound</w:t>
      </w:r>
      <w:r>
        <w:t xml:space="preserve">”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63" Target="https://doi.org/10.1007/s00330-017-5011-9" TargetMode="External" /><Relationship Type="http://schemas.openxmlformats.org/officeDocument/2006/relationships/hyperlink" Id="rId86" Target="https://doi.org/10.1007/s00330-020-07197-7" TargetMode="External" /><Relationship Type="http://schemas.openxmlformats.org/officeDocument/2006/relationships/hyperlink" Id="rId55" Target="https://doi.org/10.1007/s12282-018-0857-5" TargetMode="External" /><Relationship Type="http://schemas.openxmlformats.org/officeDocument/2006/relationships/hyperlink" Id="rId57" Target="https://doi.org/10.1016/j.ajog.2014.06.048" TargetMode="External" /><Relationship Type="http://schemas.openxmlformats.org/officeDocument/2006/relationships/hyperlink" Id="rId53" Target="https://doi.org/10.1016/j.ejogrb.2018.05.018" TargetMode="External" /><Relationship Type="http://schemas.openxmlformats.org/officeDocument/2006/relationships/hyperlink" Id="rId76" Target="https://doi.org/10.1016/j.ejrad.2008.04.002" TargetMode="External" /><Relationship Type="http://schemas.openxmlformats.org/officeDocument/2006/relationships/hyperlink" Id="rId72" Target="https://doi.org/10.1016/j.ejrad.2011.02.038" TargetMode="External" /><Relationship Type="http://schemas.openxmlformats.org/officeDocument/2006/relationships/hyperlink" Id="rId74" Target="https://doi.org/10.1016/j.ejrad.2012.01.034" TargetMode="External" /><Relationship Type="http://schemas.openxmlformats.org/officeDocument/2006/relationships/hyperlink" Id="rId70" Target="https://doi.org/10.1016/j.jacr.2017.11.034" TargetMode="External" /><Relationship Type="http://schemas.openxmlformats.org/officeDocument/2006/relationships/hyperlink" Id="rId84" Target="https://doi.org/10.1016/j.ultrasmedbio.2013.04.003" TargetMode="External" /><Relationship Type="http://schemas.openxmlformats.org/officeDocument/2006/relationships/hyperlink" Id="rId61" Target="https://doi.org/10.1038/s41416-018-0080-3" TargetMode="External" /><Relationship Type="http://schemas.openxmlformats.org/officeDocument/2006/relationships/hyperlink" Id="rId65" Target="https://doi.org/10.1038/s41598-021-93350-1" TargetMode="External" /><Relationship Type="http://schemas.openxmlformats.org/officeDocument/2006/relationships/hyperlink" Id="rId80" Target="https://doi.org/10.1055/s-0031-1273414" TargetMode="External" /><Relationship Type="http://schemas.openxmlformats.org/officeDocument/2006/relationships/hyperlink" Id="rId48" Target="https://doi.org/10.1097/cej.0000000000000406" TargetMode="External" /><Relationship Type="http://schemas.openxmlformats.org/officeDocument/2006/relationships/hyperlink" Id="rId59" Target="https://doi.org/10.1136/bmj.c1241" TargetMode="External" /><Relationship Type="http://schemas.openxmlformats.org/officeDocument/2006/relationships/hyperlink" Id="rId82" Target="https://doi.org/10.1177/0284185114528835" TargetMode="External" /><Relationship Type="http://schemas.openxmlformats.org/officeDocument/2006/relationships/hyperlink" Id="rId68" Target="https://doi.org/10.1200/jco.2010.28.9199" TargetMode="External" /><Relationship Type="http://schemas.openxmlformats.org/officeDocument/2006/relationships/hyperlink" Id="rId51" Target="https://doi.org/10.1200/op.20.00793" TargetMode="External" /><Relationship Type="http://schemas.openxmlformats.org/officeDocument/2006/relationships/hyperlink" Id="rId78" Target="https://doi.org/10.3348/kjr.2013.14.2.15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doi.org/10.1007/s00330-017-5011-9" TargetMode="External" /><Relationship Type="http://schemas.openxmlformats.org/officeDocument/2006/relationships/hyperlink" Id="rId86" Target="https://doi.org/10.1007/s00330-020-07197-7" TargetMode="External" /><Relationship Type="http://schemas.openxmlformats.org/officeDocument/2006/relationships/hyperlink" Id="rId55" Target="https://doi.org/10.1007/s12282-018-0857-5" TargetMode="External" /><Relationship Type="http://schemas.openxmlformats.org/officeDocument/2006/relationships/hyperlink" Id="rId57" Target="https://doi.org/10.1016/j.ajog.2014.06.048" TargetMode="External" /><Relationship Type="http://schemas.openxmlformats.org/officeDocument/2006/relationships/hyperlink" Id="rId53" Target="https://doi.org/10.1016/j.ejogrb.2018.05.018" TargetMode="External" /><Relationship Type="http://schemas.openxmlformats.org/officeDocument/2006/relationships/hyperlink" Id="rId76" Target="https://doi.org/10.1016/j.ejrad.2008.04.002" TargetMode="External" /><Relationship Type="http://schemas.openxmlformats.org/officeDocument/2006/relationships/hyperlink" Id="rId72" Target="https://doi.org/10.1016/j.ejrad.2011.02.038" TargetMode="External" /><Relationship Type="http://schemas.openxmlformats.org/officeDocument/2006/relationships/hyperlink" Id="rId74" Target="https://doi.org/10.1016/j.ejrad.2012.01.034" TargetMode="External" /><Relationship Type="http://schemas.openxmlformats.org/officeDocument/2006/relationships/hyperlink" Id="rId70" Target="https://doi.org/10.1016/j.jacr.2017.11.034" TargetMode="External" /><Relationship Type="http://schemas.openxmlformats.org/officeDocument/2006/relationships/hyperlink" Id="rId84" Target="https://doi.org/10.1016/j.ultrasmedbio.2013.04.003" TargetMode="External" /><Relationship Type="http://schemas.openxmlformats.org/officeDocument/2006/relationships/hyperlink" Id="rId61" Target="https://doi.org/10.1038/s41416-018-0080-3" TargetMode="External" /><Relationship Type="http://schemas.openxmlformats.org/officeDocument/2006/relationships/hyperlink" Id="rId65" Target="https://doi.org/10.1038/s41598-021-93350-1" TargetMode="External" /><Relationship Type="http://schemas.openxmlformats.org/officeDocument/2006/relationships/hyperlink" Id="rId80" Target="https://doi.org/10.1055/s-0031-1273414" TargetMode="External" /><Relationship Type="http://schemas.openxmlformats.org/officeDocument/2006/relationships/hyperlink" Id="rId48" Target="https://doi.org/10.1097/cej.0000000000000406" TargetMode="External" /><Relationship Type="http://schemas.openxmlformats.org/officeDocument/2006/relationships/hyperlink" Id="rId59" Target="https://doi.org/10.1136/bmj.c1241" TargetMode="External" /><Relationship Type="http://schemas.openxmlformats.org/officeDocument/2006/relationships/hyperlink" Id="rId82" Target="https://doi.org/10.1177/0284185114528835" TargetMode="External" /><Relationship Type="http://schemas.openxmlformats.org/officeDocument/2006/relationships/hyperlink" Id="rId68" Target="https://doi.org/10.1200/jco.2010.28.9199" TargetMode="External" /><Relationship Type="http://schemas.openxmlformats.org/officeDocument/2006/relationships/hyperlink" Id="rId51" Target="https://doi.org/10.1200/op.20.00793" TargetMode="External" /><Relationship Type="http://schemas.openxmlformats.org/officeDocument/2006/relationships/hyperlink" Id="rId78" Target="https://doi.org/10.3348/kjr.2013.14.2.15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Jun_Accur_3</dc:title>
  <dc:creator>Andrey Povaliy</dc:creator>
  <cp:keywords/>
  <dcterms:created xsi:type="dcterms:W3CDTF">2023-11-21T12:03:59Z</dcterms:created>
  <dcterms:modified xsi:type="dcterms:W3CDTF">2023-11-21T12:03:59Z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american-medical-association-brackets.csl</vt:lpwstr>
  </property>
  <property fmtid="{D5CDD505-2E9C-101B-9397-08002B2CF9AE}" pid="4" name="date">
    <vt:lpwstr>2023-09-04</vt:lpwstr>
  </property>
  <property fmtid="{D5CDD505-2E9C-101B-9397-08002B2CF9AE}" pid="5" name="editor_options">
    <vt:lpwstr/>
  </property>
  <property fmtid="{D5CDD505-2E9C-101B-9397-08002B2CF9AE}" pid="6" name="output">
    <vt:lpwstr>word_document</vt:lpwstr>
  </property>
</Properties>
</file>