
<file path=[Content_Types].xml><?xml version="1.0" encoding="utf-8"?>
<Types xmlns="http://schemas.openxmlformats.org/package/2006/content-types">
  <Default Extension="rels" ContentType="application/vnd.openxmlformats-package.relationships+xml"/>
  <Default Extension="so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346D3" w:rsidRPr="00B552B5" w:rsidRDefault="00000000" w:rsidP="00AD47A0">
      <w:pPr>
        <w:pStyle w:val="1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bookmarkStart w:id="0" w:name="глава-2.-матриалы-и-методы"/>
      <w:r w:rsidRPr="00B552B5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ГЛАВА 2. МАТРИАЛЫ И МЕТОДЫ</w:t>
      </w:r>
    </w:p>
    <w:p w:rsidR="006346D3" w:rsidRPr="00B552B5" w:rsidRDefault="00000000" w:rsidP="00B552B5">
      <w:pPr>
        <w:pStyle w:val="FirstParagraph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В настоящей главе будут подробно представлены данные о дизайне исследования, подробное описание используемых диагностических методов, регистрируемых данных и классификаторов.</w:t>
      </w:r>
    </w:p>
    <w:p w:rsidR="006346D3" w:rsidRPr="00B552B5" w:rsidRDefault="00000000" w:rsidP="00B552B5">
      <w:pPr>
        <w:pStyle w:val="2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bookmarkStart w:id="1" w:name="общая-характеристика-исследования"/>
      <w:r w:rsidRPr="00B552B5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2.1 Общая характеристика исследования</w:t>
      </w:r>
    </w:p>
    <w:p w:rsidR="006346D3" w:rsidRPr="00B552B5" w:rsidRDefault="00000000" w:rsidP="00B552B5">
      <w:pPr>
        <w:pStyle w:val="FirstParagraph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Исследование можно характеризовать как клиническое исследование диагностических аспектов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ранней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диагностики рака молочной железы.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Объектом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исследования являются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новообразования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молочной железы, регистрируемые при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диагностике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с использованием ручного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ультразвуково</w:t>
      </w:r>
      <w:r w:rsidR="00451F9B">
        <w:rPr>
          <w:rFonts w:ascii="Times New Roman" w:hAnsi="Times New Roman" w:cs="Times New Roman"/>
          <w:color w:val="000000" w:themeColor="text1"/>
          <w:lang w:val="ru-RU"/>
        </w:rPr>
        <w:t>го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исследования (УЗИ), маммографии (ММГ) и автоматизированного объемного УЗИ сканирования молочных желез (</w:t>
      </w:r>
      <w:r w:rsidRPr="00B552B5">
        <w:rPr>
          <w:rFonts w:ascii="Times New Roman" w:hAnsi="Times New Roman" w:cs="Times New Roman"/>
          <w:color w:val="000000" w:themeColor="text1"/>
        </w:rPr>
        <w:t>ABUS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). Предметом исследования является изучение диагностической эффективности автоматизированного объемного УЗИ сканирования молочных желез, а также анализ наиболее важных факторов как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преддиагностическом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этапе, так и при выполнении конкретного диагностического метода, в частности при выполнении автоматизированного объемного УЗИ сканирования молочных желез. Дизайн исследования можно охарактеризовать ретро-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проспективное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наблюдательное исследование. Протокол настоящего исследования был одобрен на заседании локального этического комитета СЗГМУ им. Мечникова №00 от ХХ.ХХ.ХХХХ года.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Всего в исследование вошло 2794 пациенток. Критерии включения были пациенты женского пола в возрасте от 18 до 80 лет; женщина, посетившая врача для обследования рака молочной железы, с отсутствием видимых признаков рака молочной железы. Критериями исключения были: женщины, которые были беременны, кормили грудью или планировали забеременеть; оперативное лечение в анамнезе (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лампэктомия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, мастэктомия, увеличение груди),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Эксцизионная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или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чрескожная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биопсия за последние 12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месяцев, пациентки,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получавшие лечение по поводу рака молочных желез за последние 12 месяцев. В это исследование была включена одна медицинская клиника- СМТ, состоящая из двух зданий -амбулаторно-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поликлического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комплекса и хирургического корпуса со стационаром. Все женщины из амбулаторного отделения были приглашены для участия в нашем исследовании, участники подписали форму информированного согласия. Все обследования были проведены медицинским персоналом с соответствующей квалификацией. Всем провели клинический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>осмотр, пальпацию, собрали информацию о социально-демографических данных и потенциальных факторах риска РМЖ.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Все пациентки были разделены на 2 независимые друг от друга выборки по принципу возраста: выборка пациенток с возрастом до 40 лет и выборка пациенток с возрастом от 40 лет включительно. Принцип разделения по возрасту был связан с различными принципами использования диагностических методов в скрининге рака молочной железы. У пациенток моложе 40 лет ММГ менее эффективна, так как низкая чувствительность метода и основным методом диагности</w:t>
      </w:r>
      <w:r w:rsidR="00451F9B">
        <w:rPr>
          <w:rFonts w:ascii="Times New Roman" w:hAnsi="Times New Roman" w:cs="Times New Roman"/>
          <w:color w:val="000000" w:themeColor="text1"/>
          <w:lang w:val="ru-RU"/>
        </w:rPr>
        <w:t>ки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используется УЗИ метод (</w:t>
      </w:r>
      <w:r w:rsidRPr="00B552B5">
        <w:rPr>
          <w:rFonts w:ascii="Times New Roman" w:hAnsi="Times New Roman" w:cs="Times New Roman"/>
          <w:color w:val="000000" w:themeColor="text1"/>
        </w:rPr>
        <w:t>Mandelson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et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al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 2000). У пациенток моложе от 40 лет метод ММГ является обязательным в скрининге РМЖ (</w:t>
      </w:r>
      <w:r w:rsidRPr="00B552B5">
        <w:rPr>
          <w:rFonts w:ascii="Times New Roman" w:hAnsi="Times New Roman" w:cs="Times New Roman"/>
          <w:color w:val="000000" w:themeColor="text1"/>
        </w:rPr>
        <w:t>Narayan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B552B5">
        <w:rPr>
          <w:rFonts w:ascii="Times New Roman" w:hAnsi="Times New Roman" w:cs="Times New Roman"/>
          <w:color w:val="000000" w:themeColor="text1"/>
        </w:rPr>
        <w:t>Lee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B552B5">
        <w:rPr>
          <w:rFonts w:ascii="Times New Roman" w:hAnsi="Times New Roman" w:cs="Times New Roman"/>
          <w:color w:val="000000" w:themeColor="text1"/>
        </w:rPr>
        <w:t>and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Lehman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2020). Более подробно об используемых методах можно прочитать в разделе “2.3 Описание диагностических методов”.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выборку до 40 лет вошло 1511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пациенток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Эта выборка пациенток была разделена на две группы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В группу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вошло 724 пациенток и в это группе скрининг проводился с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использованием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мануальной УЗИ диагностики и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и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автоматизированного объемного УЗИ сканирования молочных желез (исследуемая группа). В группу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вошло 787 пациенток и в этой группе скрининг проводился только с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использованием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ручного УЗИ диагностики (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контрольная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группа). В выборку 40 лет и старше вошло 1283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пациенток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Эта выборка пациенток была разделена на две группы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В группу С вошло 655 пациенток и в это группе скрининг проводился с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использованием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ручного УЗИ, маммографии и автоматизированного объемного УЗИ сканирования молочных желез (исследуемая группа). В группу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вошло 628 пациенток и в этой группе скрининг проводился только с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использованием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ручного УЗИ и маммографии (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контрольная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группа). Подробное описание выборок и групп представлено в разделе “2.5 Описание исследуемых групп”. Включение указанного количества пациенток в группы было основано на расчете мощности, более подробно можно прочитать в разделе “2.6 Статистический анализ данных”.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Диагностический этап, где проводилась непосредственно диагностическое исследование с использованием методом ручного УЗИ исследования, маммографии и автоматизированного объемного УЗИ сканирования молочных желез в зависимости от группы распределения.</w:t>
      </w:r>
    </w:p>
    <w:p w:rsidR="006346D3" w:rsidRPr="00B552B5" w:rsidRDefault="00451F9B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Производился</w:t>
      </w:r>
      <w:r w:rsidR="00000000"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сбор данных для последующего вы</w:t>
      </w:r>
      <w:r>
        <w:rPr>
          <w:rFonts w:ascii="Times New Roman" w:hAnsi="Times New Roman" w:cs="Times New Roman"/>
          <w:color w:val="000000" w:themeColor="text1"/>
          <w:lang w:val="ru-RU"/>
        </w:rPr>
        <w:t>яв</w:t>
      </w:r>
      <w:r w:rsidR="00000000" w:rsidRPr="00B552B5">
        <w:rPr>
          <w:rFonts w:ascii="Times New Roman" w:hAnsi="Times New Roman" w:cs="Times New Roman"/>
          <w:color w:val="000000" w:themeColor="text1"/>
          <w:lang w:val="ru-RU"/>
        </w:rPr>
        <w:t>ления наиболее значимых факторов, а также выявления эффективности изучаемых методов и прогностической ценности метода.</w:t>
      </w:r>
    </w:p>
    <w:p w:rsidR="006346D3" w:rsidRPr="00B552B5" w:rsidRDefault="00000000" w:rsidP="00B552B5">
      <w:pPr>
        <w:pStyle w:val="2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bookmarkStart w:id="2" w:name="описание-диагностических-методов"/>
      <w:bookmarkEnd w:id="1"/>
      <w:r w:rsidRPr="00B552B5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lastRenderedPageBreak/>
        <w:t>2.2 Описание диагностических методов</w:t>
      </w:r>
    </w:p>
    <w:p w:rsidR="006346D3" w:rsidRPr="00B552B5" w:rsidRDefault="00000000" w:rsidP="00B552B5">
      <w:pPr>
        <w:pStyle w:val="3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" w:name="ручное-узи-исследование"/>
      <w:r w:rsidRPr="00B552B5">
        <w:rPr>
          <w:rFonts w:ascii="Times New Roman" w:hAnsi="Times New Roman" w:cs="Times New Roman"/>
          <w:color w:val="000000" w:themeColor="text1"/>
          <w:lang w:val="ru-RU"/>
        </w:rPr>
        <w:t>2.2.1 Ручное УЗИ исследование</w:t>
      </w:r>
    </w:p>
    <w:p w:rsidR="006346D3" w:rsidRPr="00B552B5" w:rsidRDefault="00000000" w:rsidP="00B552B5">
      <w:pPr>
        <w:pStyle w:val="FirstParagraph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</w:rPr>
        <w:t>HHUS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выполняли два врача ультразвуковой диагностики со стажем работы более 7 лет. Исследование проводилось в положении лежа, с руками за головой, с последовательным сканированием каждого квадранта обеих молочных железе в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сагитальной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аксиальной плоскостях, с исследованием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ретроареолярной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области и аксиллярных областей с двух сторон. Устройства, используемые для проведения </w:t>
      </w:r>
      <w:proofErr w:type="gramStart"/>
      <w:r w:rsidRPr="00B552B5">
        <w:rPr>
          <w:rFonts w:ascii="Times New Roman" w:hAnsi="Times New Roman" w:cs="Times New Roman"/>
          <w:color w:val="000000" w:themeColor="text1"/>
        </w:rPr>
        <w:t>HHUS</w:t>
      </w:r>
      <w:proofErr w:type="gram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включали </w:t>
      </w:r>
      <w:r w:rsidRPr="00B552B5">
        <w:rPr>
          <w:rFonts w:ascii="Times New Roman" w:hAnsi="Times New Roman" w:cs="Times New Roman"/>
          <w:color w:val="000000" w:themeColor="text1"/>
        </w:rPr>
        <w:t>GE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LOGIQS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8 (</w:t>
      </w:r>
      <w:r w:rsidRPr="00B552B5">
        <w:rPr>
          <w:rFonts w:ascii="Times New Roman" w:hAnsi="Times New Roman" w:cs="Times New Roman"/>
          <w:color w:val="000000" w:themeColor="text1"/>
        </w:rPr>
        <w:t>GE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Medical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Systems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, Милуоки, Висконсин, США), </w:t>
      </w:r>
      <w:r w:rsidRPr="00B552B5">
        <w:rPr>
          <w:rFonts w:ascii="Times New Roman" w:hAnsi="Times New Roman" w:cs="Times New Roman"/>
          <w:color w:val="000000" w:themeColor="text1"/>
        </w:rPr>
        <w:t>Toshiba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proofErr w:type="spellStart"/>
      <w:r w:rsidRPr="00B552B5">
        <w:rPr>
          <w:rFonts w:ascii="Times New Roman" w:hAnsi="Times New Roman" w:cs="Times New Roman"/>
          <w:color w:val="000000" w:themeColor="text1"/>
        </w:rPr>
        <w:t>Aplio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300(</w:t>
      </w:r>
      <w:r w:rsidRPr="00B552B5">
        <w:rPr>
          <w:rFonts w:ascii="Times New Roman" w:hAnsi="Times New Roman" w:cs="Times New Roman"/>
          <w:color w:val="000000" w:themeColor="text1"/>
        </w:rPr>
        <w:t>Canon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Япония)- ультразвуковые системы экспертного класса.</w:t>
      </w:r>
    </w:p>
    <w:p w:rsidR="006346D3" w:rsidRPr="00B552B5" w:rsidRDefault="00000000" w:rsidP="00B552B5">
      <w:pPr>
        <w:pStyle w:val="3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4" w:name="X9f3dfb733160e8aed3b0279978944fd01cd7d08"/>
      <w:bookmarkEnd w:id="3"/>
      <w:r w:rsidRPr="00B552B5">
        <w:rPr>
          <w:rFonts w:ascii="Times New Roman" w:hAnsi="Times New Roman" w:cs="Times New Roman"/>
          <w:color w:val="000000" w:themeColor="text1"/>
          <w:lang w:val="ru-RU"/>
        </w:rPr>
        <w:t>2.3.2 Автоматизированное объемное УЗИ сканирование молочных желез (</w:t>
      </w:r>
      <w:r w:rsidRPr="00B552B5">
        <w:rPr>
          <w:rFonts w:ascii="Times New Roman" w:hAnsi="Times New Roman" w:cs="Times New Roman"/>
          <w:color w:val="000000" w:themeColor="text1"/>
        </w:rPr>
        <w:t>ABUS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)</w:t>
      </w:r>
    </w:p>
    <w:p w:rsidR="006346D3" w:rsidRPr="00B552B5" w:rsidRDefault="00000000" w:rsidP="00B552B5">
      <w:pPr>
        <w:pStyle w:val="FirstParagraph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-автоматизированная ультразвуковая система </w:t>
      </w:r>
      <w:proofErr w:type="spellStart"/>
      <w:r w:rsidRPr="00B552B5">
        <w:rPr>
          <w:rFonts w:ascii="Times New Roman" w:hAnsi="Times New Roman" w:cs="Times New Roman"/>
          <w:color w:val="000000" w:themeColor="text1"/>
        </w:rPr>
        <w:t>Invenia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(</w:t>
      </w:r>
      <w:r w:rsidRPr="00B552B5">
        <w:rPr>
          <w:rFonts w:ascii="Times New Roman" w:hAnsi="Times New Roman" w:cs="Times New Roman"/>
          <w:color w:val="000000" w:themeColor="text1"/>
        </w:rPr>
        <w:t>ABUS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) оцениваемая в данном исследовании, производства </w:t>
      </w:r>
      <w:r w:rsidRPr="00B552B5">
        <w:rPr>
          <w:rFonts w:ascii="Times New Roman" w:hAnsi="Times New Roman" w:cs="Times New Roman"/>
          <w:color w:val="000000" w:themeColor="text1"/>
        </w:rPr>
        <w:t>GE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Healthcare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(Саннивейл, Калифорния, США) 2018 года выпуска— это компьютерная система для оценки плотной молочной железы.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Каждая молочная железа была визуализирована в трех проекциях: боковой (</w:t>
      </w:r>
      <w:r w:rsidRPr="00B552B5">
        <w:rPr>
          <w:rFonts w:ascii="Times New Roman" w:hAnsi="Times New Roman" w:cs="Times New Roman"/>
          <w:color w:val="000000" w:themeColor="text1"/>
        </w:rPr>
        <w:t>LAT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), переднезадней (</w:t>
      </w:r>
      <w:r w:rsidRPr="00B552B5">
        <w:rPr>
          <w:rFonts w:ascii="Times New Roman" w:hAnsi="Times New Roman" w:cs="Times New Roman"/>
          <w:color w:val="000000" w:themeColor="text1"/>
        </w:rPr>
        <w:t>AP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).и медиальный (</w:t>
      </w:r>
      <w:r w:rsidRPr="00B552B5">
        <w:rPr>
          <w:rFonts w:ascii="Times New Roman" w:hAnsi="Times New Roman" w:cs="Times New Roman"/>
          <w:color w:val="000000" w:themeColor="text1"/>
        </w:rPr>
        <w:t>MED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) с автоматическим датчиком с линейной матрицей от 6 до 14 МГц, прикрепленным к жесткой компрессионной пластине.(площадь 15,4×17,0×5,0 см).Индивидуальная мембрана для датчика была использована для каждой пациентки. Во время исследования система получала до 300 2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-срезов и реконструировала их в коронарной плоскости. Стандартизированный процесс осмотра включает использование запатентованной коронарной плоскости для быстрой навигации по молочной железе, а также использование «режима обзора», позволяющего врачу быстро интерпретировать изображения. Время сбора данных для каждой проекции составляло 60 с, примерно по 3–4 мин на каждую молочную железу. Обследование проводили в положении лежа. Полотенце было помещено под плечом, что помогло расправить ткань молочной железы равномерно, соском к потолку. На молочные железы равномерно наносили гипоаллергенный ультразвуковой гель с дополнительным количество на область </w:t>
      </w:r>
      <w:proofErr w:type="gramStart"/>
      <w:r w:rsidRPr="00B552B5">
        <w:rPr>
          <w:rFonts w:ascii="Times New Roman" w:hAnsi="Times New Roman" w:cs="Times New Roman"/>
          <w:color w:val="000000" w:themeColor="text1"/>
          <w:lang w:val="ru-RU"/>
        </w:rPr>
        <w:t>соска..</w:t>
      </w:r>
      <w:proofErr w:type="gram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Возможно применение трех уровней компрессии датчика для исследования молочных желез для получения наилучшей визуализации с учетом комфорта пациента.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Сканирование </w:t>
      </w:r>
      <w:r w:rsidRPr="00B552B5">
        <w:rPr>
          <w:rFonts w:ascii="Times New Roman" w:hAnsi="Times New Roman" w:cs="Times New Roman"/>
          <w:color w:val="000000" w:themeColor="text1"/>
        </w:rPr>
        <w:t>ABUS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было непрерывным и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автоматизированным. В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течение исследования женщин попросили не двигаться, не разговаривать и дышать ровно. Выполнял исследование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сертифицированный персонал со средним медицинским образованием. После завершения сбора данных ультразвуковой системой весь массив передавался на специальную рабочую станцию для интерпретации. Оценку изображений </w:t>
      </w:r>
      <w:r w:rsidRPr="00B552B5">
        <w:rPr>
          <w:rFonts w:ascii="Times New Roman" w:hAnsi="Times New Roman" w:cs="Times New Roman"/>
          <w:color w:val="000000" w:themeColor="text1"/>
        </w:rPr>
        <w:t>ABUS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выполнял один врач ультразвуковой диагностики, со стажем работы более 7 лет. Общее время, необходимое для подготовки пациента и получения </w:t>
      </w:r>
      <w:r w:rsidRPr="00B552B5">
        <w:rPr>
          <w:rFonts w:ascii="Times New Roman" w:hAnsi="Times New Roman" w:cs="Times New Roman"/>
          <w:color w:val="000000" w:themeColor="text1"/>
        </w:rPr>
        <w:t>ABUS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, фиксировалось, в каждом случае и варьировалось примерно между 10 и 15 мин.</w:t>
      </w:r>
    </w:p>
    <w:p w:rsidR="006346D3" w:rsidRPr="00B552B5" w:rsidRDefault="00000000" w:rsidP="00B552B5">
      <w:pPr>
        <w:pStyle w:val="3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5" w:name="маммография"/>
      <w:bookmarkEnd w:id="4"/>
      <w:r w:rsidRPr="00B552B5">
        <w:rPr>
          <w:rFonts w:ascii="Times New Roman" w:hAnsi="Times New Roman" w:cs="Times New Roman"/>
          <w:color w:val="000000" w:themeColor="text1"/>
          <w:lang w:val="ru-RU"/>
        </w:rPr>
        <w:t>2.3.3 Маммография</w:t>
      </w:r>
    </w:p>
    <w:p w:rsidR="006346D3" w:rsidRPr="00B552B5" w:rsidRDefault="00000000" w:rsidP="00B552B5">
      <w:pPr>
        <w:pStyle w:val="FirstParagraph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Пациентки старше 40 лет прошли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двухпроекционную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цифровую маммографию (в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медиалатеральной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косой и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краниокаудальной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проекции) обеих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молочных желез. Маммографию также выполняли женщинам моложе 40 лет в случае положительного семейного или личного анамнеза - рак молочной железы.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Используемое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оборудование- </w:t>
      </w:r>
      <w:proofErr w:type="spellStart"/>
      <w:r w:rsidRPr="00B552B5">
        <w:rPr>
          <w:rFonts w:ascii="Times New Roman" w:hAnsi="Times New Roman" w:cs="Times New Roman"/>
          <w:color w:val="000000" w:themeColor="text1"/>
        </w:rPr>
        <w:t>Planmed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Clarity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3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с функцией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томосинтеза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(Финляндия). Оценку изображений проводил один рентгенолог со стажем работы более 10 лет.</w:t>
      </w:r>
    </w:p>
    <w:p w:rsidR="006346D3" w:rsidRPr="00B552B5" w:rsidRDefault="00000000" w:rsidP="00B552B5">
      <w:pPr>
        <w:pStyle w:val="3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6" w:name="магнитно-резонансная-томография"/>
      <w:bookmarkEnd w:id="5"/>
      <w:r w:rsidRPr="00B552B5">
        <w:rPr>
          <w:rFonts w:ascii="Times New Roman" w:hAnsi="Times New Roman" w:cs="Times New Roman"/>
          <w:color w:val="000000" w:themeColor="text1"/>
          <w:lang w:val="ru-RU"/>
        </w:rPr>
        <w:t>2.3.4 Магнитно-резонансная томография</w:t>
      </w:r>
    </w:p>
    <w:p w:rsidR="006346D3" w:rsidRPr="00B552B5" w:rsidRDefault="00000000" w:rsidP="00B552B5">
      <w:pPr>
        <w:pStyle w:val="FirstParagraph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Диагностика МРТ проводилась на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высокопольном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магнитно-резонансном томографе </w:t>
      </w:r>
      <w:r w:rsidRPr="00B552B5">
        <w:rPr>
          <w:rFonts w:ascii="Times New Roman" w:hAnsi="Times New Roman" w:cs="Times New Roman"/>
          <w:color w:val="000000" w:themeColor="text1"/>
        </w:rPr>
        <w:t>General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Electric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Medical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Systems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Signa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proofErr w:type="spellStart"/>
      <w:r w:rsidRPr="00B552B5">
        <w:rPr>
          <w:rFonts w:ascii="Times New Roman" w:hAnsi="Times New Roman" w:cs="Times New Roman"/>
          <w:color w:val="000000" w:themeColor="text1"/>
        </w:rPr>
        <w:t>HDxt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1,5 Т (США). Показаниями к проведению МРТ была поставленная после проведения ручного УЗИ категория 3 по классификации по </w:t>
      </w:r>
      <w:r w:rsidRPr="00B552B5">
        <w:rPr>
          <w:rFonts w:ascii="Times New Roman" w:hAnsi="Times New Roman" w:cs="Times New Roman"/>
          <w:color w:val="000000" w:themeColor="text1"/>
        </w:rPr>
        <w:t>BI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B552B5">
        <w:rPr>
          <w:rFonts w:ascii="Times New Roman" w:hAnsi="Times New Roman" w:cs="Times New Roman"/>
          <w:color w:val="000000" w:themeColor="text1"/>
        </w:rPr>
        <w:t>RADS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3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7" w:name="оценка-выявленных-изменений."/>
      <w:bookmarkEnd w:id="6"/>
      <w:r w:rsidRPr="00B552B5">
        <w:rPr>
          <w:rFonts w:ascii="Times New Roman" w:hAnsi="Times New Roman" w:cs="Times New Roman"/>
          <w:color w:val="000000" w:themeColor="text1"/>
          <w:lang w:val="ru-RU"/>
        </w:rPr>
        <w:t>2.3.5 Оценка выявленных изменений.</w:t>
      </w:r>
    </w:p>
    <w:p w:rsidR="006346D3" w:rsidRPr="00B552B5" w:rsidRDefault="00000000" w:rsidP="00B552B5">
      <w:pPr>
        <w:pStyle w:val="FirstParagraph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Результаты выявленных изменений были классифицированы по </w:t>
      </w:r>
      <w:r w:rsidRPr="00B552B5">
        <w:rPr>
          <w:rFonts w:ascii="Times New Roman" w:hAnsi="Times New Roman" w:cs="Times New Roman"/>
          <w:color w:val="000000" w:themeColor="text1"/>
        </w:rPr>
        <w:t>BI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B552B5">
        <w:rPr>
          <w:rFonts w:ascii="Times New Roman" w:hAnsi="Times New Roman" w:cs="Times New Roman"/>
          <w:color w:val="000000" w:themeColor="text1"/>
        </w:rPr>
        <w:t>RADS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отсортированы по шести категориям (</w:t>
      </w:r>
      <w:proofErr w:type="spellStart"/>
      <w:r w:rsidRPr="00B552B5">
        <w:rPr>
          <w:rFonts w:ascii="Times New Roman" w:hAnsi="Times New Roman" w:cs="Times New Roman"/>
          <w:color w:val="000000" w:themeColor="text1"/>
        </w:rPr>
        <w:t>Spak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et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al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2017): 0 = неполные данные , 1 = нормальные, 2 = доброкачественные, 3 =вероятно доброкачественные, 4 = подозрительные, 5 = с высокой степенью вероятности злокачественные, для </w:t>
      </w:r>
      <w:r w:rsidRPr="00B552B5">
        <w:rPr>
          <w:rFonts w:ascii="Times New Roman" w:hAnsi="Times New Roman" w:cs="Times New Roman"/>
          <w:color w:val="000000" w:themeColor="text1"/>
        </w:rPr>
        <w:t>HHUS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B552B5">
        <w:rPr>
          <w:rFonts w:ascii="Times New Roman" w:hAnsi="Times New Roman" w:cs="Times New Roman"/>
          <w:color w:val="000000" w:themeColor="text1"/>
        </w:rPr>
        <w:t>ABUS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MG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Для категории </w:t>
      </w:r>
      <w:proofErr w:type="spellStart"/>
      <w:r w:rsidRPr="00B552B5">
        <w:rPr>
          <w:rFonts w:ascii="Times New Roman" w:hAnsi="Times New Roman" w:cs="Times New Roman"/>
          <w:color w:val="000000" w:themeColor="text1"/>
        </w:rPr>
        <w:t>Birads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3 обязательно проводилась магнитно-резонансная томография (МРТ) для выявления истинно отрицательных и ложноотрицательных результатов. Женщинам, отнесенным к категории 4 или 5, проводилась трепан биопсия под уз-наведением или стереотаксическим наведением с последующей морфологической и при необходимости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иммуногистохимической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верификацией.</w:t>
      </w:r>
    </w:p>
    <w:p w:rsidR="006346D3" w:rsidRPr="00B552B5" w:rsidRDefault="00000000" w:rsidP="00B552B5">
      <w:pPr>
        <w:pStyle w:val="2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bookmarkStart w:id="8" w:name="X56fadda2366fa726ab801ee67cd6e72d3d112be"/>
      <w:bookmarkEnd w:id="2"/>
      <w:bookmarkEnd w:id="7"/>
      <w:r w:rsidRPr="00B552B5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lastRenderedPageBreak/>
        <w:t>2.4 Описание регистрируемых данных и их классификаторов</w:t>
      </w:r>
    </w:p>
    <w:p w:rsidR="006346D3" w:rsidRPr="00B552B5" w:rsidRDefault="00000000" w:rsidP="00B552B5">
      <w:pPr>
        <w:pStyle w:val="2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bookmarkStart w:id="9" w:name="описание-исследуемых-групп"/>
      <w:bookmarkEnd w:id="8"/>
      <w:r w:rsidRPr="00B552B5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2.5 Описание исследуемых групп</w:t>
      </w:r>
    </w:p>
    <w:p w:rsidR="006346D3" w:rsidRPr="00B552B5" w:rsidRDefault="00000000" w:rsidP="00B552B5">
      <w:pPr>
        <w:pStyle w:val="3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0" w:name="X77e4c291d3a7b21a5484ff6a88cd4f5dcc58706"/>
      <w:r w:rsidRPr="00B552B5">
        <w:rPr>
          <w:rFonts w:ascii="Times New Roman" w:hAnsi="Times New Roman" w:cs="Times New Roman"/>
          <w:color w:val="000000" w:themeColor="text1"/>
          <w:lang w:val="ru-RU"/>
        </w:rPr>
        <w:t>2.5.1 Общее описание выборки пациенток до 40 лет</w:t>
      </w:r>
    </w:p>
    <w:p w:rsidR="006346D3" w:rsidRPr="00B552B5" w:rsidRDefault="00000000" w:rsidP="00B552B5">
      <w:pPr>
        <w:pStyle w:val="FirstParagraph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С февраля 2019 по май 2023 года было исследовано 1511 пациенток с возрастом до 40 лет.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Медиана возраста пациенток выборке до 40 лет составила 35 [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3: 32;37] лет. Минимальный возраст составил 20 лет. Максимальный возраст составил 39 лет. Медиана роста пациенток выборке до 40 лет составил 167 [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3: 164;170] см. Медиана веса пациенток выборке до 40 лет составил 59 [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3: 55;65] кг.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В выборке до 40 лет были поставлены следующие диагнозы при первичном осмотре: «Без патологии» было 29.91% пациенток(452/1511 случаев) [95% ДИ 0.28;0.32], «Рак» был поставлен в 0.79% (12/1511 случаев) [95% ДИ 0;0.01], «Фиброаденома» была поставлена в 19.99% (302/1511 случаев) [95% ДИ 0.18;0.22], «Фиброзно-кистозная болезнь» в 25.61% (387/1511 случаев) [95% ДИ 0.23;0.28], «Киста» была в 6.42% (97/1511 случаев) [95% ДИ 0.05;0.08], «Листовидная опухоль» - 0.6% (9/1511 случаев) [95% ДИ 0;0.01], «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Внутрипротоковая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папиллома» - 0.4% (6/1511 случаев) [95% ДИ 0;0.01], «Гиперплазия» было 0.4% (6/1511 случаев) [95% ДИ 0;0.01], «Диффузный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фиброаденоматоз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» - 15.42% (233/1511 случаев) [95% ДИ 0.14;0.17] и «Локализованный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фиброаденоматоз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>» - 0.46% (7/1511 случаев) [95% ДИ 0;0.01].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Были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выявлены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следующие жалобы: «выделения из соска» было 0.66% (10/1511 случаев) [95% ДИ 0;0.01], боль была в 5.03% (76/1511 случаев) [95% ДИ 0.04;0.06], «уплотнение» было в 9.4% (142/1511 случаев) [95% ДИ 0.08;0.11] и не было жалоб в 84.91% (1283/1511 случаев) [95% ДИ 0.83;0.87].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Репродуктивный возраст был в 96.96% (1465/1511 случаев) [95% ДИ 0.96;0.98],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пременопауза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была в 3.04% (46/1511 случаев) [95% ДИ 0.02;0.04].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Операций на молочной железе в анамнезе не было в 98.41% (1487/1511 случаев) [95% ДИ 0.98;0.99] и были в 1.59% (24/1511 случаев) [95% ДИ 0.01;0.02</w:t>
      </w:r>
      <w:proofErr w:type="gramStart"/>
      <w:r w:rsidRPr="00B552B5">
        <w:rPr>
          <w:rFonts w:ascii="Times New Roman" w:hAnsi="Times New Roman" w:cs="Times New Roman"/>
          <w:color w:val="000000" w:themeColor="text1"/>
          <w:lang w:val="ru-RU"/>
        </w:rPr>
        <w:t>] .</w:t>
      </w:r>
      <w:proofErr w:type="gram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В выборке до 40 лет прием гормональных препаратов был в 21.05% (310/1511 случаев) [95% ДИ 0.19;0.23] и не отмечался в 8.95% (1163/1511 случаев) [95% ДИ 0.75;0.79].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>В выборке до 40 лет генетическая предрасположенность нет было в 68.57% (1023/1511 случаев) [95% ДИ 0.65;0.7], в то время как предрасположенность отмечалась в 31.43% (469/1511 случаев) [95% ДИ 0.29;0.33].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Была выявлена мутация </w:t>
      </w:r>
      <w:r w:rsidRPr="00B552B5">
        <w:rPr>
          <w:rFonts w:ascii="Times New Roman" w:hAnsi="Times New Roman" w:cs="Times New Roman"/>
          <w:color w:val="000000" w:themeColor="text1"/>
        </w:rPr>
        <w:t>BRCA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proofErr w:type="spellStart"/>
      <w:r w:rsidRPr="00B552B5">
        <w:rPr>
          <w:rFonts w:ascii="Times New Roman" w:hAnsi="Times New Roman" w:cs="Times New Roman"/>
          <w:color w:val="000000" w:themeColor="text1"/>
        </w:rPr>
        <w:t>BRCA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1 было 0.4% (6/1511 случаев) [95% ДИ 0;0.01], мутаций </w:t>
      </w:r>
      <w:r w:rsidRPr="00B552B5">
        <w:rPr>
          <w:rFonts w:ascii="Times New Roman" w:hAnsi="Times New Roman" w:cs="Times New Roman"/>
          <w:color w:val="000000" w:themeColor="text1"/>
        </w:rPr>
        <w:t>BRCA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не выявлено было 1.19% (18/1511 случаев) [95% ДИ 0.01;0.02]. В остальных случаях исследования мутаций не проводилось.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Сторона поражения при осмотре была правая в 11.25% (170/1511 случаев) [95% ДИ 0.1;0.13], левая в 6.55% (99/1511 случаев) [95% ДИ 0.05;0.08], поражения обеих сторон в 3.97% (60/1511 случаев) [95% ДИ 0.03;0.05], в остальных случаях образование не пальпировало - 78.23% (1182/1511 случаев) [95% ДИ 0.76;0.8].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Кожные симптомы при осмотре нет было во всех 100% (1511/1511 случаев) [95% ДИ 1;1].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В выборке до 40 лет втягивание соска при осмотре не было в 98.81% (1493/1511 случаев) [95% ДИ 0.98;0.99], было отмечено в 1.19% (18/1511 случаев) [95% ДИ 0.01;0.02].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Выделения из соска при осмотре не было в 99.54% (1504/1511 случаев) [95% ДИ 0.99;1]., кровянистые выделения были в 0.46% (7/1511 случаев) [95% ДИ 0;0.01].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Тип плотности по </w:t>
      </w:r>
      <w:r w:rsidRPr="00B552B5">
        <w:rPr>
          <w:rFonts w:ascii="Times New Roman" w:hAnsi="Times New Roman" w:cs="Times New Roman"/>
          <w:color w:val="000000" w:themeColor="text1"/>
        </w:rPr>
        <w:t>ACR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при осмотре был «С» в 70.11% (1046/1511 случаев) [95% ДИ 0.67;0.72], тип «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» был в 29.89% (446/1511 случаев) [95% ДИ 0.27;0.32].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Квадрант локализации верхне-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нараружный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был в 8.01% (121/1511 случаев) [95% ДИ 0.07;0.1], верхне-внутренний - 3.97% (60/1511 случаев) [95% ДИ 0.03;0.05], нижне-наружный - 2.38% (36/1511 случаев) [95% ДИ 0.02;0.03], нижне-внутренний было в 1.19% (18/1511 случаев) [95% ДИ 0.01;0.02], граница внутреннего - 1.72% (26/1511 случаев) [95% ДИ 0.01;0.03], граница наружного - 1.19% (18/1511 случаев) [95% ДИ 0.01;0.02], граница верхнего - 2.91% (44/1511 случаев) [95% ДИ 0.02;0.04], граница нижних - 0.86% (13/1511 случаев) [95% ДИ 0;0.02], вся железа - 0.4% (6/1511 случаев) [95% ДИ 0;0.01].</w:t>
      </w:r>
    </w:p>
    <w:p w:rsidR="006346D3" w:rsidRPr="00B552B5" w:rsidRDefault="00000000" w:rsidP="00B552B5">
      <w:pPr>
        <w:pStyle w:val="3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1" w:name="описание-групп-в-пациенток-до-40-лет"/>
      <w:bookmarkEnd w:id="10"/>
      <w:r w:rsidRPr="00B552B5">
        <w:rPr>
          <w:rFonts w:ascii="Times New Roman" w:hAnsi="Times New Roman" w:cs="Times New Roman"/>
          <w:color w:val="000000" w:themeColor="text1"/>
          <w:lang w:val="ru-RU"/>
        </w:rPr>
        <w:t>2.5.2 Описание групп в пациенток до 40 лет</w:t>
      </w:r>
    </w:p>
    <w:p w:rsidR="006346D3" w:rsidRPr="00B552B5" w:rsidRDefault="00000000" w:rsidP="00B552B5">
      <w:pPr>
        <w:pStyle w:val="FirstParagraph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группу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вошло 787 пациенток. Медиана возраста составила 35 [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3: 32;37] лет. Минимальный возраст составил 20 лет. Максимальный возраст составил 39 лет. Медиана роста составила 167 [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3: 164;170] см. Медиана веса составила 58 [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3: 55;65] кг. Пациенток в группе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 исследование вошло 724 пациентов. Медиана возраста составила 34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>[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3: 31;37] лет. Минимальный возраст составил 20 лет. Максимальный возраст составил 39 лет. Медиана роста оставила 167 [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3: 164;170] см. Медиана веса составила 60 [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3: 55;65] кг. Статистически значимой разницы по возрасту, росту, весу не было выявлено.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  <w:lang w:val="ru-RU"/>
        </w:rPr>
        <w:t>Дигноз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  <w:lang w:val="ru-RU"/>
        </w:rPr>
        <w:t xml:space="preserve"> при первичном осмотре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А были поставлены следующие диагнозы: «Без патологии» было 32.15% (253/787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0.29;0.36], «Рак» было 0.76% (6/787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0;0.02], «Фиброаденома» в 15.63% (123/787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0.13;0.18], «Фиброзно-кистозная болезнь» в 28.72% (226/787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0.26;0.32], «Киста» в 4.45% (35/787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0.03;0.06],«Листовидная опухоль» в 0.38% (3/787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0;0.01], «Диффузный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фиброаденоматоз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» в 17.03% (134/787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0.15;0.2],«Локализованный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фиброаденоматоз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» в 0.89% (7/787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0;0.02].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были поставлены диагнозы после осмотра: «Без патологии» было 27.49% (199/724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0.24;0.31], «Рак» было 0.83% (6/724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0;0.02],«Фиброаденома» в 24.72% (179/724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0.22;0.28], «Фиброзно-кистозная болезнь» в 22.24% (161/724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0.19;0.25], «Киста» в 8.56% (62/724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0.07;0.11], «Листовидная опухоль» в 0.83% (6/724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0;0.02], «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Внутрипротоковая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папиллома” в 0.83% (6/724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0;0.02], «Гиперплазия» в 0.83% (6/724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0;0.02], «Диффузный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фиброаденоматоз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» в 13.67% (99/724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0.11;0.16] (Таблица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1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1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B552B5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images2/Jun/diagnosis_primary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Рисунок №2.1. Первичный диагноз, поставленный при первичном осмотре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Разница между группами по первичному диагнозу была выявлена (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B552B5">
        <w:rPr>
          <w:rFonts w:ascii="Times New Roman" w:hAnsi="Times New Roman" w:cs="Times New Roman"/>
          <w:color w:val="000000" w:themeColor="text1"/>
        </w:rPr>
        <w:t>value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&lt;0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,01). Разница объясняется тем, что диагнозы “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Внутрипротоковая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папиллома”, “Гиперплазия” в группе А не было вы</w:t>
      </w:r>
      <w:r w:rsidR="00451F9B">
        <w:rPr>
          <w:rFonts w:ascii="Times New Roman" w:hAnsi="Times New Roman" w:cs="Times New Roman"/>
          <w:color w:val="000000" w:themeColor="text1"/>
          <w:lang w:val="ru-RU"/>
        </w:rPr>
        <w:t>яв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лено, в то время как “Локализованный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фиброаденоматоз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” не был зарегистрирован в группе В. Также в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группе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выявлено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больше пациенток с диагнозом “Фиброаденома”, а также “Киста”. Учитывая, что наиболее значимым диагнозом являлся “Рак”, то пересчет с учетом приоритетной значимости этого диагноза привел к тому, что группы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распредел</w:t>
      </w:r>
      <w:r w:rsidR="00451F9B">
        <w:rPr>
          <w:rFonts w:ascii="Times New Roman" w:hAnsi="Times New Roman" w:cs="Times New Roman"/>
          <w:color w:val="000000" w:themeColor="text1"/>
          <w:lang w:val="ru-RU"/>
        </w:rPr>
        <w:t>ены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однородно (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-уровень = 0.77).</w:t>
      </w:r>
    </w:p>
    <w:p w:rsidR="00B552B5" w:rsidRDefault="00000000" w:rsidP="00B552B5">
      <w:pPr>
        <w:pStyle w:val="a0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Таблица №2.1. </w:t>
      </w:r>
    </w:p>
    <w:p w:rsidR="006346D3" w:rsidRPr="00B552B5" w:rsidRDefault="00000000" w:rsidP="00B552B5">
      <w:pPr>
        <w:pStyle w:val="a0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Первичный диагноз, поставленный при первичном осмотре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18"/>
        <w:gridCol w:w="2542"/>
        <w:gridCol w:w="1278"/>
        <w:gridCol w:w="1983"/>
        <w:gridCol w:w="1523"/>
        <w:gridCol w:w="761"/>
      </w:tblGrid>
      <w:tr w:rsidR="00B552B5" w:rsidRPr="00B552B5" w:rsidTr="00B552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18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Диагноз</w:t>
            </w:r>
            <w:proofErr w:type="spellEnd"/>
          </w:p>
        </w:tc>
        <w:tc>
          <w:tcPr>
            <w:tcW w:w="1283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645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1001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769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B552B5" w:rsidTr="00B552B5">
        <w:tc>
          <w:tcPr>
            <w:tcW w:w="918" w:type="pct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1283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А</w:t>
            </w:r>
          </w:p>
        </w:tc>
        <w:tc>
          <w:tcPr>
            <w:tcW w:w="645" w:type="pct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1001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В</w:t>
            </w:r>
          </w:p>
        </w:tc>
        <w:tc>
          <w:tcPr>
            <w:tcW w:w="769" w:type="pct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810D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&lt;</w:t>
            </w:r>
            <w:r w:rsidR="00000000"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0,01</w:t>
            </w:r>
          </w:p>
        </w:tc>
      </w:tr>
      <w:tr w:rsidR="00B552B5" w:rsidRPr="00B552B5" w:rsidTr="00B552B5">
        <w:tc>
          <w:tcPr>
            <w:tcW w:w="918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Без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патологии</w:t>
            </w:r>
            <w:proofErr w:type="spellEnd"/>
          </w:p>
        </w:tc>
        <w:tc>
          <w:tcPr>
            <w:tcW w:w="1283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32.147% (253/787 случаев)</w:t>
            </w:r>
          </w:p>
        </w:tc>
        <w:tc>
          <w:tcPr>
            <w:tcW w:w="645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[0.29;0.36]</w:t>
            </w:r>
          </w:p>
        </w:tc>
        <w:tc>
          <w:tcPr>
            <w:tcW w:w="1001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27.486% (199/724 случаев)</w:t>
            </w:r>
          </w:p>
        </w:tc>
        <w:tc>
          <w:tcPr>
            <w:tcW w:w="769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[0.24;0.31]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 w:rsidTr="00B552B5">
        <w:tc>
          <w:tcPr>
            <w:tcW w:w="918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Рак</w:t>
            </w:r>
            <w:proofErr w:type="spellEnd"/>
          </w:p>
        </w:tc>
        <w:tc>
          <w:tcPr>
            <w:tcW w:w="1283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0.762% (6/787 случаев)</w:t>
            </w:r>
          </w:p>
        </w:tc>
        <w:tc>
          <w:tcPr>
            <w:tcW w:w="645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1001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0.829% (6/724 случаев)</w:t>
            </w:r>
          </w:p>
        </w:tc>
        <w:tc>
          <w:tcPr>
            <w:tcW w:w="769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0.77</w:t>
            </w:r>
          </w:p>
        </w:tc>
      </w:tr>
      <w:tr w:rsidR="00B552B5" w:rsidRPr="00B552B5" w:rsidTr="00B552B5">
        <w:tc>
          <w:tcPr>
            <w:tcW w:w="918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Саркома</w:t>
            </w:r>
            <w:proofErr w:type="spellEnd"/>
          </w:p>
        </w:tc>
        <w:tc>
          <w:tcPr>
            <w:tcW w:w="1283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(0/787 случаев)</w:t>
            </w:r>
          </w:p>
        </w:tc>
        <w:tc>
          <w:tcPr>
            <w:tcW w:w="645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1001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(0/724 случаев)</w:t>
            </w:r>
          </w:p>
        </w:tc>
        <w:tc>
          <w:tcPr>
            <w:tcW w:w="769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 w:rsidTr="00B552B5">
        <w:tc>
          <w:tcPr>
            <w:tcW w:w="918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Фиброаденома</w:t>
            </w:r>
            <w:proofErr w:type="spellEnd"/>
          </w:p>
        </w:tc>
        <w:tc>
          <w:tcPr>
            <w:tcW w:w="1283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15.629% (123/787 случаев)</w:t>
            </w:r>
          </w:p>
        </w:tc>
        <w:tc>
          <w:tcPr>
            <w:tcW w:w="645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[0.13;0.18]</w:t>
            </w:r>
          </w:p>
        </w:tc>
        <w:tc>
          <w:tcPr>
            <w:tcW w:w="1001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24.724% (179/724 случаев)</w:t>
            </w:r>
          </w:p>
        </w:tc>
        <w:tc>
          <w:tcPr>
            <w:tcW w:w="769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[0.22;0.28]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 w:rsidTr="00B552B5">
        <w:tc>
          <w:tcPr>
            <w:tcW w:w="918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Фиброзно-кистозная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болезнь</w:t>
            </w:r>
            <w:proofErr w:type="spellEnd"/>
          </w:p>
        </w:tc>
        <w:tc>
          <w:tcPr>
            <w:tcW w:w="1283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28.717% (226/787 случаев)</w:t>
            </w:r>
          </w:p>
        </w:tc>
        <w:tc>
          <w:tcPr>
            <w:tcW w:w="645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[0.26;0.32]</w:t>
            </w:r>
          </w:p>
        </w:tc>
        <w:tc>
          <w:tcPr>
            <w:tcW w:w="1001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22.238% (161/724 случаев)</w:t>
            </w:r>
          </w:p>
        </w:tc>
        <w:tc>
          <w:tcPr>
            <w:tcW w:w="769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[0.19;0.25]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 w:rsidTr="00B552B5">
        <w:tc>
          <w:tcPr>
            <w:tcW w:w="918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Киста</w:t>
            </w:r>
            <w:proofErr w:type="spellEnd"/>
          </w:p>
        </w:tc>
        <w:tc>
          <w:tcPr>
            <w:tcW w:w="1283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4.447% (35/787 случаев)</w:t>
            </w:r>
          </w:p>
        </w:tc>
        <w:tc>
          <w:tcPr>
            <w:tcW w:w="645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[0.03;0.06]</w:t>
            </w:r>
          </w:p>
        </w:tc>
        <w:tc>
          <w:tcPr>
            <w:tcW w:w="1001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8.564% (62/724 случаев)</w:t>
            </w:r>
          </w:p>
        </w:tc>
        <w:tc>
          <w:tcPr>
            <w:tcW w:w="769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[0.07;0.11]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 w:rsidTr="00B552B5">
        <w:tc>
          <w:tcPr>
            <w:tcW w:w="918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Листовидная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опухоль</w:t>
            </w:r>
            <w:proofErr w:type="spellEnd"/>
          </w:p>
        </w:tc>
        <w:tc>
          <w:tcPr>
            <w:tcW w:w="1283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0.381% (3/787 случаев)</w:t>
            </w:r>
          </w:p>
        </w:tc>
        <w:tc>
          <w:tcPr>
            <w:tcW w:w="645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1001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0.829% (6/724 случаев)</w:t>
            </w:r>
          </w:p>
        </w:tc>
        <w:tc>
          <w:tcPr>
            <w:tcW w:w="769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 w:rsidTr="00B552B5">
        <w:tc>
          <w:tcPr>
            <w:tcW w:w="918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Внутрипротоковая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папиллома</w:t>
            </w:r>
            <w:proofErr w:type="spellEnd"/>
          </w:p>
        </w:tc>
        <w:tc>
          <w:tcPr>
            <w:tcW w:w="1283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(0/787 случаев)</w:t>
            </w:r>
          </w:p>
        </w:tc>
        <w:tc>
          <w:tcPr>
            <w:tcW w:w="645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1001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0.829% (6/724 случаев)</w:t>
            </w:r>
          </w:p>
        </w:tc>
        <w:tc>
          <w:tcPr>
            <w:tcW w:w="769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 w:rsidTr="00B552B5">
        <w:tc>
          <w:tcPr>
            <w:tcW w:w="918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Гиперплазия</w:t>
            </w:r>
            <w:proofErr w:type="spellEnd"/>
          </w:p>
        </w:tc>
        <w:tc>
          <w:tcPr>
            <w:tcW w:w="1283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(0/787 случаев)</w:t>
            </w:r>
          </w:p>
        </w:tc>
        <w:tc>
          <w:tcPr>
            <w:tcW w:w="645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1001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0.829% (6/724 случаев)</w:t>
            </w:r>
          </w:p>
        </w:tc>
        <w:tc>
          <w:tcPr>
            <w:tcW w:w="769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 w:rsidTr="00B552B5">
        <w:tc>
          <w:tcPr>
            <w:tcW w:w="918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Диффузный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фиброаденоматоз</w:t>
            </w:r>
            <w:proofErr w:type="spellEnd"/>
          </w:p>
        </w:tc>
        <w:tc>
          <w:tcPr>
            <w:tcW w:w="1283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17.027% (134/787 случаев)</w:t>
            </w:r>
          </w:p>
        </w:tc>
        <w:tc>
          <w:tcPr>
            <w:tcW w:w="645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[0.15;0.2]</w:t>
            </w:r>
          </w:p>
        </w:tc>
        <w:tc>
          <w:tcPr>
            <w:tcW w:w="1001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13.674% (99/724 случаев)</w:t>
            </w:r>
          </w:p>
        </w:tc>
        <w:tc>
          <w:tcPr>
            <w:tcW w:w="769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[0.11;0.16]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 w:rsidTr="00B552B5">
        <w:tc>
          <w:tcPr>
            <w:tcW w:w="918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Локализованный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фиброаденоматоз</w:t>
            </w:r>
            <w:proofErr w:type="spellEnd"/>
          </w:p>
        </w:tc>
        <w:tc>
          <w:tcPr>
            <w:tcW w:w="1283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0.889% (7/787 случаев)</w:t>
            </w:r>
          </w:p>
        </w:tc>
        <w:tc>
          <w:tcPr>
            <w:tcW w:w="645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1001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(0/724 случаев)</w:t>
            </w:r>
          </w:p>
        </w:tc>
        <w:tc>
          <w:tcPr>
            <w:tcW w:w="769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 w:rsidTr="00B552B5">
        <w:tc>
          <w:tcPr>
            <w:tcW w:w="918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Мастит</w:t>
            </w:r>
            <w:proofErr w:type="spellEnd"/>
          </w:p>
        </w:tc>
        <w:tc>
          <w:tcPr>
            <w:tcW w:w="1283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(0/787 случаев)</w:t>
            </w:r>
          </w:p>
        </w:tc>
        <w:tc>
          <w:tcPr>
            <w:tcW w:w="645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1001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(0/724 случаев)</w:t>
            </w:r>
          </w:p>
        </w:tc>
        <w:tc>
          <w:tcPr>
            <w:tcW w:w="769" w:type="pct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Жалобы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при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первичном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осмотре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А были выявлены следующие жалобы: выделения из соска в 0.38% (3/787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0;0.01], боль была в 4.83% (38/787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0.03;0.07], уплотнение было в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8.01% (63/787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0.06;0.1], в 86.79% (683/787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0.84;0.89] не было жалоб.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были выявлены следующие жалобы: выделения из соска были в 0.97% (7/724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0;0.02], боль была в 5.25% (38/724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0.04;0.07], уплотнение было в 10.91% (79/724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0.09;0.13], жалоб не было в 82.87% (600/724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0.8;0.86] (Таблица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B552B5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images2/Jun/complaints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Рисунок №2.2. </w:t>
      </w:r>
      <w:r w:rsidR="00451F9B">
        <w:rPr>
          <w:rFonts w:ascii="Times New Roman" w:hAnsi="Times New Roman" w:cs="Times New Roman"/>
          <w:color w:val="000000" w:themeColor="text1"/>
          <w:lang w:val="ru-RU"/>
        </w:rPr>
        <w:t>Жалобы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, выявленные при первичном осмотре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Разница между группами по выявленным жалобам не было выявлено составила уровень значимости составил (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-уровень = 0.21). По составу жалоб группы распределены равномерно, можно отметить не значимую разницу в общем количестве пациенток с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отсутвием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жалоб.</w:t>
      </w:r>
    </w:p>
    <w:p w:rsidR="00B552B5" w:rsidRDefault="00000000" w:rsidP="00B552B5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Таблица №2.2. </w:t>
      </w:r>
    </w:p>
    <w:p w:rsidR="006346D3" w:rsidRPr="00B552B5" w:rsidRDefault="00451F9B" w:rsidP="00B552B5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451F9B">
        <w:rPr>
          <w:rFonts w:ascii="Times New Roman" w:hAnsi="Times New Roman" w:cs="Times New Roman"/>
          <w:color w:val="000000" w:themeColor="text1"/>
          <w:lang w:val="ru-RU"/>
        </w:rPr>
        <w:t>Жалобы</w:t>
      </w:r>
      <w:r w:rsidR="00000000" w:rsidRPr="00B552B5">
        <w:rPr>
          <w:rFonts w:ascii="Times New Roman" w:hAnsi="Times New Roman" w:cs="Times New Roman"/>
          <w:color w:val="000000" w:themeColor="text1"/>
          <w:lang w:val="ru-RU"/>
        </w:rPr>
        <w:t xml:space="preserve">, выявленные при первичном осмотре в группах </w:t>
      </w:r>
      <w:r w:rsidR="00000000" w:rsidRPr="00B552B5">
        <w:rPr>
          <w:rFonts w:ascii="Times New Roman" w:hAnsi="Times New Roman" w:cs="Times New Roman"/>
          <w:color w:val="000000" w:themeColor="text1"/>
        </w:rPr>
        <w:t>A</w:t>
      </w:r>
      <w:r w:rsidR="00000000"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="00000000" w:rsidRPr="00B552B5">
        <w:rPr>
          <w:rFonts w:ascii="Times New Roman" w:hAnsi="Times New Roman" w:cs="Times New Roman"/>
          <w:color w:val="000000" w:themeColor="text1"/>
        </w:rPr>
        <w:t>B</w:t>
      </w:r>
      <w:r w:rsidR="00000000"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86"/>
        <w:gridCol w:w="2491"/>
        <w:gridCol w:w="1109"/>
        <w:gridCol w:w="2491"/>
        <w:gridCol w:w="1109"/>
        <w:gridCol w:w="819"/>
      </w:tblGrid>
      <w:tr w:rsidR="00B552B5" w:rsidRPr="00B552B5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Жалобы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А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Б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0.21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нет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86.785% (683/787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[0.84;0.89]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82.873% (600/724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[0.8;0.86]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есть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опухоль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выделения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из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соска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0.381% (3/787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0.967% (7/724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боль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4.828% (38/787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[0.03;0.07]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5.249% (38/724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[0.04;0.07]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уплотнение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8.005% (63/787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[0.06;0.1]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10.912% (79/724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[0.09;0.13]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гиперемия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гипертермия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Репродуктивный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статус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А репродуктивный возраст был в 96.7% (761/787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случаев)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[95% ДИ 0.95;0.98],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пременопауза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было 3.3% (26/787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0.02;0.05].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репродуктивный статус был репродуктивный возраст был в 97.24% (704/724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случаев)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[95% ДИ 0.96;0.98],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пременопауза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 2.76% (20/724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0.02;0.04] 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(Таблица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3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3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B552B5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2/Jun/satus_reproductive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Рисунок №2.3. Репродуктивный статус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репродуктивному статусу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-уровень=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0.55.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Группы распределены однородно.</w:t>
      </w:r>
    </w:p>
    <w:p w:rsidR="00B552B5" w:rsidRDefault="00000000" w:rsidP="00B552B5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Таблица №2.3. </w:t>
      </w:r>
    </w:p>
    <w:p w:rsidR="006346D3" w:rsidRPr="00B552B5" w:rsidRDefault="00000000" w:rsidP="00B552B5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Репродуктивный статус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50"/>
        <w:gridCol w:w="2325"/>
        <w:gridCol w:w="1105"/>
        <w:gridCol w:w="2325"/>
        <w:gridCol w:w="1105"/>
        <w:gridCol w:w="795"/>
      </w:tblGrid>
      <w:tr w:rsidR="00B552B5" w:rsidRPr="00B552B5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Репродуктивный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статус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А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Б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0.55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репродуктивный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возраст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96.696% (761/787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[0.95;0.98]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97.238% (704/724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[0.96;0.98]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менопауза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до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5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лет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менопауза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более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5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лет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пременопауза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3.304% (26/787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[0.02;0.05]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2.762% (20/724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[0.02;0.04]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оперативная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менопауза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Операции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на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молочной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железе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А операций на молочной железе в анамнезе не было в 98.48% (775/787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случаев)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[95% ДИ 0.97;0.99], и было 1.52% (12/787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0.01;0.03].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операций на молочной железе в анамнезе не было в 98.34% (712/724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0.97;0.99], в 1.66% операции были (12/724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0.01;0.03] 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(Таблица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4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4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B552B5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2/Jun/breast_surgery_befor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Рисунок №2.4. Операции на молочной железе в анамнезе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репродуктивному статусу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-уровень=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0.41.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Группы распределены однородно.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Таблица №2.4. Операции на молочной железе в анамнезе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82"/>
        <w:gridCol w:w="2524"/>
        <w:gridCol w:w="1123"/>
        <w:gridCol w:w="2524"/>
        <w:gridCol w:w="1123"/>
        <w:gridCol w:w="829"/>
      </w:tblGrid>
      <w:tr w:rsidR="00B552B5" w:rsidRPr="00B552B5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Операции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на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МЖ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A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B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0.41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было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операций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98.475% (775/787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[0.97;0.99]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98.343% (712/724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[0.97;0.99]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0.41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были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операции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1.525% (12/787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[0.01;0.03]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1.657% (12/724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[0.01;0.03]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Прием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гормональных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препаратов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В группе А прием гормональных препаратов был в 20.34% (155/787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случаев)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[95% ДИ 0.17;0.23] и в не было в 79.66% (607/787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0.74;0.8].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прием гормональных препаратов был в 21.8% (155/724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случаев)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[95% ДИ 0.19;0.25] и приема препаратов не было в 78.2% (556/724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случаев)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[95% ДИ 0.74;0.8] 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(Таблица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5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5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334000" cy="2965802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images2/Jun/hormonal_medications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Рисунок №2.5. Прием гормональных препаратов в анамнезе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приему гормональных препаратов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-уровень= 0.17. Группы распределены однородно.</w:t>
      </w:r>
    </w:p>
    <w:p w:rsidR="00B552B5" w:rsidRDefault="00000000" w:rsidP="00B552B5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Таблица №2.5. </w:t>
      </w:r>
    </w:p>
    <w:p w:rsidR="006346D3" w:rsidRPr="00B552B5" w:rsidRDefault="00000000" w:rsidP="00B552B5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Прием гормональных препаратов в анамнезе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93"/>
        <w:gridCol w:w="2305"/>
        <w:gridCol w:w="1105"/>
        <w:gridCol w:w="2305"/>
        <w:gridCol w:w="1105"/>
        <w:gridCol w:w="792"/>
      </w:tblGrid>
      <w:tr w:rsidR="00B552B5" w:rsidRPr="00B552B5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Гормональные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препараты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A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B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0.17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да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19.695% (155/787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[0.17;0.23]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21.409% (155/724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[0.19;0.25]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нет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80.305% (632/787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[0.77;0.83]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78.591% (569/724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[0.75;0.81]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Генетическая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предрасположенность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А генетической предрасположенности не было в 68.52% (531/787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0.64;0.71], было в 31.48% (244/787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0.28;0.34].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генетическая предрасположенности не было в 68.62% (492/724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случаев)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[95% ДИ 0.64;0.71], в 31.38% была (225/724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0.28;0.35] 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(Таблица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6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6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B552B5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images2/Jun/genetics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Рисунок №2.6. Наследственная предрасположенность в анамнезе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генетической предрасположенности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-уровень=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0.73.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Группы распределены однородно.</w:t>
      </w:r>
    </w:p>
    <w:p w:rsidR="00B552B5" w:rsidRDefault="00000000" w:rsidP="00B552B5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Таблица №2.6. </w:t>
      </w:r>
    </w:p>
    <w:p w:rsidR="006346D3" w:rsidRPr="00B552B5" w:rsidRDefault="00000000" w:rsidP="00B552B5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Наследственная предрасположенность в анамнезе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63"/>
        <w:gridCol w:w="1991"/>
        <w:gridCol w:w="1105"/>
        <w:gridCol w:w="1991"/>
        <w:gridCol w:w="1105"/>
        <w:gridCol w:w="750"/>
      </w:tblGrid>
      <w:tr w:rsidR="00B552B5" w:rsidRPr="00B552B5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Наследственная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предрасположенность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A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B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0.73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нет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68.996% (543/787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[0.66;0.72]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68.923% (499/724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[0.65;0.72]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0.73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есть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31.004% (244/787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[0.28;0.34]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31.077% (225/724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[0.28;0.35]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Мутация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BRCA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А мутация </w:t>
      </w:r>
      <w:r w:rsidRPr="00B552B5">
        <w:rPr>
          <w:rFonts w:ascii="Times New Roman" w:hAnsi="Times New Roman" w:cs="Times New Roman"/>
          <w:color w:val="000000" w:themeColor="text1"/>
        </w:rPr>
        <w:t>BRCA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1 была выявлена в 0.76% (6/787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случаев)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[95% ДИ 0;0.02], в остальных случаях исследование не проводилось.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мутаций </w:t>
      </w:r>
      <w:r w:rsidRPr="00B552B5">
        <w:rPr>
          <w:rFonts w:ascii="Times New Roman" w:hAnsi="Times New Roman" w:cs="Times New Roman"/>
          <w:color w:val="000000" w:themeColor="text1"/>
        </w:rPr>
        <w:t>BRCA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не выявлено было в 2.49% (18/724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случаев)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[95% ДИ 0.02;0.04], в остальных случаях исследование не </w:t>
      </w:r>
      <w:proofErr w:type="gramStart"/>
      <w:r w:rsidRPr="00B552B5">
        <w:rPr>
          <w:rFonts w:ascii="Times New Roman" w:hAnsi="Times New Roman" w:cs="Times New Roman"/>
          <w:color w:val="000000" w:themeColor="text1"/>
          <w:lang w:val="ru-RU"/>
        </w:rPr>
        <w:t>проводилось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 xml:space="preserve"> (</w:t>
      </w:r>
      <w:proofErr w:type="gramEnd"/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Таблица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7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, Рисунок 2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.7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B552B5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>
            <wp:extent cx="5040000" cy="2880000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images2/Jun/mutation_brca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Рисунок №2.7. Мутация </w:t>
      </w:r>
      <w:r w:rsidRPr="00B552B5">
        <w:rPr>
          <w:rFonts w:ascii="Times New Roman" w:hAnsi="Times New Roman" w:cs="Times New Roman"/>
          <w:color w:val="000000" w:themeColor="text1"/>
        </w:rPr>
        <w:t>BRCA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, выявленная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мутации </w:t>
      </w:r>
      <w:r w:rsidRPr="00B552B5">
        <w:rPr>
          <w:rFonts w:ascii="Times New Roman" w:hAnsi="Times New Roman" w:cs="Times New Roman"/>
          <w:color w:val="000000" w:themeColor="text1"/>
        </w:rPr>
        <w:t>BRCA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-уровень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&lt;0.01.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Группы по этому показателю распределены не однородно, так как в группе Б мутаций не выявлено вовсе, в то время как </w:t>
      </w:r>
      <w:r w:rsidRPr="00B552B5">
        <w:rPr>
          <w:rFonts w:ascii="Times New Roman" w:hAnsi="Times New Roman" w:cs="Times New Roman"/>
          <w:color w:val="000000" w:themeColor="text1"/>
        </w:rPr>
        <w:t>BRCA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1 были выявлены в группе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B552B5" w:rsidRDefault="00000000" w:rsidP="00B552B5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Таблица №2.7. </w:t>
      </w:r>
    </w:p>
    <w:p w:rsidR="006346D3" w:rsidRPr="00B552B5" w:rsidRDefault="00000000" w:rsidP="00B552B5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Мутация </w:t>
      </w:r>
      <w:r w:rsidRPr="00B552B5">
        <w:rPr>
          <w:rFonts w:ascii="Times New Roman" w:hAnsi="Times New Roman" w:cs="Times New Roman"/>
          <w:color w:val="000000" w:themeColor="text1"/>
        </w:rPr>
        <w:t>BRCA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, выявленная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82"/>
        <w:gridCol w:w="2169"/>
        <w:gridCol w:w="899"/>
        <w:gridCol w:w="2169"/>
        <w:gridCol w:w="1105"/>
        <w:gridCol w:w="781"/>
      </w:tblGrid>
      <w:tr w:rsidR="00B552B5" w:rsidRPr="00B552B5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Мутация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BRCA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A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B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810D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&lt;</w:t>
            </w:r>
            <w:r w:rsidR="00000000"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0.01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Оценка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не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проводилась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99.238% (781/787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[0.98;1]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97.514% (706/724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[0.96;0.98]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BRCA1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0.762% (6/787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мутаций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выявлено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2.486% (18/724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[0.02;0.04]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BRCA2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 xml:space="preserve">образование не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визуал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 xml:space="preserve"> на ММГ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0% (0/787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случаев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ложноположительный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Сторона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поражения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при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осмотре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В группе А сторона поражения при осмотре была правая в 7.12% (56/787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0.05;0.09], левая в 7.24% (57/787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0.06;0.09], обе стороны было 2.29% (18/787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0.01;0.04], в остальных случаях образование не пальпировалась.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сторона поражения при осмотре была правая в 15.75% (114/724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0.13;0.19], поражение левой было в 5.8% (42/724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0.04;0.08], поражение обеих сторон обе было в 5.8% (42/724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0.04;0.08], в остальных случаях образование не пальпировалось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 xml:space="preserve"> (Таблица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8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8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B552B5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2/Jun/side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Рисунок №2.8. Сторона поражения при осмотре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стороне поражения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-уровень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>&lt;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0.01. Группы по этому показателю распределены неоднородно, так как в группе Б чаще встречалось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непальпируемо</w:t>
      </w:r>
      <w:r w:rsidR="00451F9B">
        <w:rPr>
          <w:rFonts w:ascii="Times New Roman" w:hAnsi="Times New Roman" w:cs="Times New Roman"/>
          <w:color w:val="000000" w:themeColor="text1"/>
          <w:lang w:val="ru-RU"/>
        </w:rPr>
        <w:t>е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образование, в то время как в группе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больше поражений в правой стороне.</w:t>
      </w:r>
    </w:p>
    <w:p w:rsidR="00457C2B" w:rsidRDefault="00000000" w:rsidP="00457C2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Таблица №2.8. </w:t>
      </w:r>
    </w:p>
    <w:p w:rsidR="006346D3" w:rsidRPr="00B552B5" w:rsidRDefault="00000000" w:rsidP="00457C2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Сторона поражения при осмотре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13"/>
        <w:gridCol w:w="2483"/>
        <w:gridCol w:w="1105"/>
        <w:gridCol w:w="2483"/>
        <w:gridCol w:w="1105"/>
        <w:gridCol w:w="816"/>
      </w:tblGrid>
      <w:tr w:rsidR="00B552B5" w:rsidRPr="00B552B5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Сторона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поражения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A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B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810D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&lt;</w:t>
            </w:r>
            <w:r w:rsidR="00000000"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0.01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правая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7.116% (56/787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[0.05;0.09]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15.746% (114/724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[0.13;0.19]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левая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7.243% (57/787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[0.06;0.09]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5.801% (42/724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[0.04;0.08]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обе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2.287% (18/787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[0.01;0.04]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5.801% (42/724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[0.04;0.08]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пальпируются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83.355% (656/787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[0.81;0.86]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72.652% (526/724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[0.69;0.76]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lastRenderedPageBreak/>
        <w:t>Кожные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симптомы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А и группе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во всех случаях кожных симптомов при осмотре не было выявлено.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i/>
          <w:iCs/>
          <w:color w:val="000000" w:themeColor="text1"/>
          <w:lang w:val="ru-RU"/>
        </w:rPr>
        <w:t>Симптом втягивания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А симптом втягивания соска во всех случаях был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отрицательный. В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группе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симптома втягивания соска при осмотре нет было в 97.51% (706/724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0.96;0.98] и было в 2.49% (18/724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0.02;0.04]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 xml:space="preserve"> (Таблица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9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9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B552B5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images2/Jun/nipple_retraction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Рисунок №2.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9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Симптом втягивания соска при осмотре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симптому втягивания соска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-уровень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&lt;0.01.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Группы по этому показателю распределены неоднородно, так как в группе Б регистрировались такие случаи, а в группе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нет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457C2B" w:rsidRDefault="00000000" w:rsidP="00457C2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Таблица №2.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9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</w:p>
    <w:p w:rsidR="006346D3" w:rsidRPr="00B552B5" w:rsidRDefault="00000000" w:rsidP="00457C2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Симптом втягивания соска при осмотре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36"/>
        <w:gridCol w:w="2386"/>
        <w:gridCol w:w="977"/>
        <w:gridCol w:w="2653"/>
        <w:gridCol w:w="1181"/>
        <w:gridCol w:w="872"/>
      </w:tblGrid>
      <w:tr w:rsidR="00B552B5" w:rsidRPr="00B552B5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Втягивание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соска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A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B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810D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&lt;</w:t>
            </w:r>
            <w:r w:rsidR="00000000"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0.01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нет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100% (787/787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[0.99;1]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97.514% (706/724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[0.96;0.98]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да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2.486% (18/724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[0.02;0.04]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Выделения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из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соска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при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осмотре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В группе А выделений из соска при осмотре не было в 99.11% (780/787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0.98;1], кровянистые выделения были в 0.89% (7/787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0;0.02].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выделения из соска при осмотре нет было во всех случаях.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(Таблица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10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10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B552B5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images2/Jun/nipple_release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Рисунок №2.1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0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Симптом выделения из соска при осмотре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симптому втягивания соска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-уровень 0.02. Группы по этому показателю распределены неоднородно, так как в группе А регистрировались такие случаи, а в группе Б нет.</w:t>
      </w:r>
    </w:p>
    <w:p w:rsidR="00B552B5" w:rsidRDefault="00000000" w:rsidP="00B552B5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Таблица №2.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10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</w:p>
    <w:p w:rsidR="006346D3" w:rsidRPr="00B552B5" w:rsidRDefault="00000000" w:rsidP="00B552B5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Симптом выделения из соска при осмотре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08"/>
        <w:gridCol w:w="2052"/>
        <w:gridCol w:w="894"/>
        <w:gridCol w:w="1709"/>
        <w:gridCol w:w="1889"/>
        <w:gridCol w:w="894"/>
        <w:gridCol w:w="759"/>
      </w:tblGrid>
      <w:tr w:rsidR="00B552B5" w:rsidRPr="00B552B5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Выделения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из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соска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Выделения из соска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A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B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0.02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нет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99.111% (780/787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[0.98;1]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нет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100% (724/724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[0.99;1]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кровянистые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0.889% (7/787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кровянистые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Тип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плотности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А тип плотности по </w:t>
      </w:r>
      <w:r w:rsidRPr="00B552B5">
        <w:rPr>
          <w:rFonts w:ascii="Times New Roman" w:hAnsi="Times New Roman" w:cs="Times New Roman"/>
          <w:color w:val="000000" w:themeColor="text1"/>
        </w:rPr>
        <w:t>ACR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при осмотре был «С» в 72.27% (555/787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случаев)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[95% ДИ 0.67;0.74], тип «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» в 27.73% (213/787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0.24;0.3].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тип плотности по </w:t>
      </w:r>
      <w:r w:rsidRPr="00B552B5">
        <w:rPr>
          <w:rFonts w:ascii="Times New Roman" w:hAnsi="Times New Roman" w:cs="Times New Roman"/>
          <w:color w:val="000000" w:themeColor="text1"/>
        </w:rPr>
        <w:t>ACR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при осмотре был «</w:t>
      </w:r>
      <w:r w:rsidRPr="00B552B5">
        <w:rPr>
          <w:rFonts w:ascii="Times New Roman" w:hAnsi="Times New Roman" w:cs="Times New Roman"/>
          <w:color w:val="000000" w:themeColor="text1"/>
        </w:rPr>
        <w:t>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» 67.82% (491/724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случаев)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[95% ДИ 0.64;0.71], тип «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» был в 32.18% (233/724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0.29;0.36]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(Таблица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11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11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B552B5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2/Jun/type_structure_acr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47A0" w:rsidRDefault="00000000" w:rsidP="00AD47A0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Рисунок №2.1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1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</w:p>
    <w:p w:rsidR="006346D3" w:rsidRPr="00B552B5" w:rsidRDefault="00000000" w:rsidP="00AD47A0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Тип структуры </w:t>
      </w:r>
      <w:r w:rsidRPr="00B552B5">
        <w:rPr>
          <w:rFonts w:ascii="Times New Roman" w:hAnsi="Times New Roman" w:cs="Times New Roman"/>
          <w:color w:val="000000" w:themeColor="text1"/>
        </w:rPr>
        <w:t>ACR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структуре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ACR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-уровень 0.03. Группы по этому показателю распределены неоднородно, так как в группе А регистрировалось больше случаев по классификации “</w:t>
      </w:r>
      <w:r w:rsidRPr="00B552B5">
        <w:rPr>
          <w:rFonts w:ascii="Times New Roman" w:hAnsi="Times New Roman" w:cs="Times New Roman"/>
          <w:color w:val="000000" w:themeColor="text1"/>
        </w:rPr>
        <w:t>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”, а в группе Б больше случаев по классификации “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”.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Таблица №2.12. Тип структуры </w:t>
      </w:r>
      <w:r w:rsidRPr="00B552B5">
        <w:rPr>
          <w:rFonts w:ascii="Times New Roman" w:hAnsi="Times New Roman" w:cs="Times New Roman"/>
          <w:color w:val="000000" w:themeColor="text1"/>
        </w:rPr>
        <w:t>ACR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645"/>
        <w:gridCol w:w="2599"/>
        <w:gridCol w:w="1052"/>
        <w:gridCol w:w="2599"/>
        <w:gridCol w:w="1156"/>
        <w:gridCol w:w="854"/>
      </w:tblGrid>
      <w:tr w:rsidR="00B552B5" w:rsidRPr="00B552B5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Структура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ACR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A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B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0.03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С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72.935% (574/787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[0.7;0.76]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67.818% (491/724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[0.64;0.71]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27.065% (213/787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[0.24;0.3]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32.182% (233/724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[0.29;0.36]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Квадрант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локализации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А квадрант локализации верхне-наружный был в 4.07% (32/787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0.03;0.06], верхне-внутренний в 3.81% (30/787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0.03;0.05], нижне-наружный в 0.76% (6/787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0;0.02], нижне-внутренний в 1.52% (12/787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0.01;0.03], граница внутреннего в 1.65% (13/787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0.01;0.03], граница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наружного в 0.76% (6/787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0;0.02], граница верхнего в 4.07% (32/787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0.03;0.06].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квадрант локализации верхне-наружный было 12.29% (89/724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0.1;0.15], верхне-внутренний в 4.14% (30/724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0.03;0.06], нижне-наружный в 4.14% (30/724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0.03;0.06], нижне-внутренний в 0.83% (6/724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0;0.02], граница внутреннего в 1.8% (13/724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0.01;0.03], граница наружного в 1.66% (12/724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0.01;0.03], граница верхнего в 1.66% (12/724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0.01;0.03], граница нижних в 1.8% (13/724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0.01;0.03], вся железа в 0.83% (6/724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0;0.02]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(Таблица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12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12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B552B5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images2/Jun/quadrant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Рисунок №2.1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Квадрант локализации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локализации квадранта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-уровень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&lt;0.01.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Группы по этому показателю распределены неоднородно.</w:t>
      </w:r>
    </w:p>
    <w:p w:rsidR="00AD47A0" w:rsidRDefault="00000000" w:rsidP="00AD47A0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Таблица №2.1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</w:p>
    <w:p w:rsidR="006346D3" w:rsidRPr="00B552B5" w:rsidRDefault="00000000" w:rsidP="00AD47A0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Квадрант локализации в группах </w:t>
      </w:r>
      <w:r w:rsidRPr="00B552B5">
        <w:rPr>
          <w:rFonts w:ascii="Times New Roman" w:hAnsi="Times New Roman" w:cs="Times New Roman"/>
          <w:color w:val="000000" w:themeColor="text1"/>
        </w:rPr>
        <w:t>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B552B5">
        <w:rPr>
          <w:rFonts w:ascii="Times New Roman" w:hAnsi="Times New Roman" w:cs="Times New Roman"/>
          <w:color w:val="000000" w:themeColor="text1"/>
        </w:rPr>
        <w:t>B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094"/>
        <w:gridCol w:w="2397"/>
        <w:gridCol w:w="1105"/>
        <w:gridCol w:w="2397"/>
        <w:gridCol w:w="1105"/>
        <w:gridCol w:w="807"/>
      </w:tblGrid>
      <w:tr w:rsidR="00B552B5" w:rsidRPr="00B552B5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Квадрант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A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B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810D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&lt;</w:t>
            </w:r>
            <w:r w:rsidR="00000000"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0.01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нет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83.355% (656/787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[0.81;0.86]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70.856% (513/724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[0.67;0.74]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верхне-наружный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4.066% (32/787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[0.03;0.06]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12.293% (89/724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[0.1;0.15]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верхне-внутренний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3.812% (30/787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[0.03;0.05]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4.144% (30/724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[0.03;0.06]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нижне-наружный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0.762% (6/787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4.144% (30/724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[0.03;0.06]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нижне-внутренний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1.525% (12/787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[0.01;0.03]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0.829% (6/724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граница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внутреннего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1.652% (13/787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[0.01;0.03]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1.796% (13/724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[0.01;0.03]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граница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наружного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0.762% (6/787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1.657% (12/724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[0.01;0.03]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граница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верхнего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4.066% (32/787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[0.03;0.06]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1.657% (12/724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[0.01;0.03]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граница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нижних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1.796% (13/724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[0.01;0.03]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вся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железа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0.829% (6/724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1/2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железы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центральный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квадрант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(0/787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(0/724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3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2" w:name="X9c299f076609dd0852d6802ee3ca940310be08c"/>
      <w:bookmarkEnd w:id="11"/>
      <w:r w:rsidRPr="00B552B5">
        <w:rPr>
          <w:rFonts w:ascii="Times New Roman" w:hAnsi="Times New Roman" w:cs="Times New Roman"/>
          <w:color w:val="000000" w:themeColor="text1"/>
          <w:lang w:val="ru-RU"/>
        </w:rPr>
        <w:t>2.5.3 Общее описание выборки пациенток 40 лет и старше</w:t>
      </w:r>
    </w:p>
    <w:p w:rsidR="006346D3" w:rsidRPr="00B552B5" w:rsidRDefault="00000000" w:rsidP="00B552B5">
      <w:pPr>
        <w:pStyle w:val="FirstParagraph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С февраля 2019 по май 2023 года было исследовано 1283 пациенток с возрастом 40 лет и старше.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Медиана возраста пациенток выборке после 40 лет составил 49 [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3: 45;56] лет. Минимальный возраст составил 40 лет. Максимальный возраст составил 79 лет. Медиана роста пациенток выборке после 40 лет составил 166 [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3: 164;168] см. Медиана веса пациенток выборке после 40 лет составил 65 [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3: 60;73.25] кг. В выборке после 40 лет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>пациенток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>б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ез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proofErr w:type="spellStart"/>
      <w:r w:rsidR="00810D00">
        <w:rPr>
          <w:rFonts w:ascii="Times New Roman" w:hAnsi="Times New Roman" w:cs="Times New Roman"/>
          <w:color w:val="000000" w:themeColor="text1"/>
          <w:lang w:val="ru-RU"/>
        </w:rPr>
        <w:t>вывленной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патологии было 5.61% (72/1283 случаев) [95% ДИ 0.04;0.07].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выборке 40 лет и старше были поставлены диагнозы при первичном осмотре: «Рак»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>в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3.51% (45/1283 случаев) [95% ДИ 0.03;0.05], «Фиброаденома» в 10.05% (129/1283 случаев) [95% ДИ 0.08;0.12], «Фиброзно-кистозная болезнь» - 31.57% (405/1283 случаев) [95% ДИ 0.29;0.34], «Киста» было 2.96% (38/1283 случаев) [95% ДИ 0.02;0.04], «Листовидная опухоль» было 1.71% (22/1283 случаев) [95% ДИ 0.01;0.03], “Диффузный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фиброаденоматоз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” - 41.86% (537/1283 случаев) [95% ДИ 0.39;0.45], «Локализованный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фиброаденоматоз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>» был в 2.49% (32/1283 случаев) [95% ДИ 0.02;0.04], «Мастит» был в 0.23% (3/1283 случаев) [95% ДИ 0;0.01].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Были выявлены следующие жалобы: выделения из соска было в 0.47% (6/1283 случаев) [95% ДИ 0;0.01], боль была в 4.13% (53/1283 случаев) [95% ДИ 0.03;0.05], уплотнение было в 14.34% (184/1283 случаев) [95% ДИ 0.12;0.16], жалоб не было в 81.06% (1040/1283 случаев) [95% ДИ 0.79;0.83].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Репродуктивный возраст был в 22.37% (287/1283 случаев) [95% ДИ 0.2;0.25], менопауза до 5 лет была в 18.47% (237/1283 случаев) [95% ДИ 0.16;0.21], менопауза более 5 лет была в 24.94% (320/1283 случаев) [95% ДИ 0.23;0.27],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пременопауза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- 33.9% (435/1283 случаев) [95% ДИ 0.31;0.37], оперативная менопауза - 0.31% (4/1283 случаев) [95% ДИ 0;0.01].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В выборке после 40 лет операций на молочной железе в анамнезе не было в 99.14% (1272/1283 случаев) [95% ДИ 0.98;1], было в 0.86% (11/1283 случаев) [95% ДИ 0;0.02].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В выборке после 40 лет прием гормональных препаратов был в 20.83% (265/1283 случаев) [95% ДИ 0.18;0.23], не было 79.17% (1007/1283 случаев) [95% ДИ 0.76;0.81].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В выборке после 40 лет генетической предрасположенности не было в 63.2% (802/1283 случаев) [95% ДИ 0.6;0.65], была в 36.8% (467/1283 случаев) [95% ДИ 0.34;0.39].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При оценке мутация </w:t>
      </w:r>
      <w:r w:rsidRPr="00B552B5">
        <w:rPr>
          <w:rFonts w:ascii="Times New Roman" w:hAnsi="Times New Roman" w:cs="Times New Roman"/>
          <w:color w:val="000000" w:themeColor="text1"/>
        </w:rPr>
        <w:t>BRCA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ее не выявлено было в 1.79% (23/1283 случаев) [95% ДИ 0.01;0.03], мутация </w:t>
      </w:r>
      <w:r w:rsidRPr="00B552B5">
        <w:rPr>
          <w:rFonts w:ascii="Times New Roman" w:hAnsi="Times New Roman" w:cs="Times New Roman"/>
          <w:color w:val="000000" w:themeColor="text1"/>
        </w:rPr>
        <w:t>BRCA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2 была в 0.31% (4/1283 случаев) [95% ДИ 0;0.01], образование не визуализировалось на ММГ в 0.86% (11/1283 случаев) [95% ДИ 0;0.02], ложноположительный результат мутации </w:t>
      </w:r>
      <w:r w:rsidRPr="00B552B5">
        <w:rPr>
          <w:rFonts w:ascii="Times New Roman" w:hAnsi="Times New Roman" w:cs="Times New Roman"/>
          <w:color w:val="000000" w:themeColor="text1"/>
        </w:rPr>
        <w:t>BRCA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был в 0.31% (4/1283 случаев) [95% ДИ 0;0.01].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В выборке после 40 лет сторона поражения при осмотре была правая в 9.9% (127/1283 случаев) [95% ДИ 0.08;0.12], левая - 8.96% (115/1283 случаев) [95% ДИ 0.07;0.11], поражение обеих сторон - 4.75% (61/1283 случаев) [95% ДИ 0.04;0.06], в остальных случаях образование не пальпировалось - 76.38% (980/1283 случаев) [95% ДИ 0.74;0.79].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Кожных симптомы при осмотре нет было в 99.06% (1271/1283 случаев) [95% ДИ 0.98;0.99], отек был в 0.23% (3/1283 случаев) [95% ДИ 0;0.01], гиперемия была в 0.7% (9/1283 случаев) [95% ДИ 0;0.01].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Втягивание соска при осмотре нет было в 96.02% (1232/1283 случаев) [95% ДИ 0.95;0.97] и было в 3.98% (51/1283 случаев) [95% ДИ 0.03;0.05].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Выделения из соска при осмотре не было в 98.91% (1269/1283 случаев) [95% ДИ 0.98;0.99], светлые выделения были в 0.62% (8/1283 случаев) [95% ДИ 0;0.01], кровянистые были в 0.47% (6/1283 случаев) [95% ДИ 0;0.01].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Тип плотности по </w:t>
      </w:r>
      <w:r w:rsidRPr="00B552B5">
        <w:rPr>
          <w:rFonts w:ascii="Times New Roman" w:hAnsi="Times New Roman" w:cs="Times New Roman"/>
          <w:color w:val="000000" w:themeColor="text1"/>
        </w:rPr>
        <w:t>ACR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при осмотре был «С» в 87.96% (1125/1283 случаев) [95% ДИ 0.86;0.89], тип «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»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былл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 12.04% (154/1283 случаев) [95% ДИ 0.1;0.14].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>Квадрант локализации верхне-наружный был в 10.52% (135/1283 случаев) [95% ДИ 0.09;0.12], верхне-внутренний в 4.68% (60/1283 случаев) [95% ДИ 0.04;0.06], нижне-наружный в 1.95% (25/1283 случаев) [95% ДИ 0.01;0.03], нижне-внутренний в 1.48% (19/1283 случаев) [95% ДИ 0.01;0.02], граница наружного была в 2.18% (28/1283 случаев) [95% ДИ 0.01;0.03], граница верхнего в 1.64% (21/1283 случаев) [95% ДИ 0.01;0.03], граница нижних было 0.78% (10/1283 случаев) [95% ДИ 0;0.01], вся железа в 0.55% (7/1283 случаев) [95% ДИ 0;0.01], центральный квадрант в 0.55% (7/1283 случаев) [95% ДИ 0;0.01].</w:t>
      </w:r>
    </w:p>
    <w:p w:rsidR="006346D3" w:rsidRPr="00B552B5" w:rsidRDefault="00000000" w:rsidP="00B552B5">
      <w:pPr>
        <w:pStyle w:val="3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3" w:name="X69b9186972aa6129ee2329d0b7cbd7fbb1267cb"/>
      <w:bookmarkEnd w:id="12"/>
      <w:r w:rsidRPr="00B552B5">
        <w:rPr>
          <w:rFonts w:ascii="Times New Roman" w:hAnsi="Times New Roman" w:cs="Times New Roman"/>
          <w:color w:val="000000" w:themeColor="text1"/>
          <w:lang w:val="ru-RU"/>
        </w:rPr>
        <w:t>2.5.4 Оценка однородности пациенток 40 лет и старше</w:t>
      </w:r>
    </w:p>
    <w:p w:rsidR="006346D3" w:rsidRPr="00B552B5" w:rsidRDefault="00000000" w:rsidP="00B552B5">
      <w:pPr>
        <w:pStyle w:val="FirstParagraph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Пациенток в группе </w:t>
      </w:r>
      <w:r w:rsidRPr="00B552B5">
        <w:rPr>
          <w:rFonts w:ascii="Times New Roman" w:hAnsi="Times New Roman" w:cs="Times New Roman"/>
          <w:color w:val="000000" w:themeColor="text1"/>
        </w:rPr>
        <w:t>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 исследование вошло 628 пациентов. Медиана возраста пациенток в группе </w:t>
      </w:r>
      <w:r w:rsidRPr="00B552B5">
        <w:rPr>
          <w:rFonts w:ascii="Times New Roman" w:hAnsi="Times New Roman" w:cs="Times New Roman"/>
          <w:color w:val="000000" w:themeColor="text1"/>
        </w:rPr>
        <w:t>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составила 49.5 [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3: 45;56] лет. Минимальный возраст составил 40 лет. Максимальный возраст составил 79 лет. Медиана роста составила 167 [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3: 164;169] см. Медиана веса составила 65 [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3: 60;72] кг. Пациенток в группу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вошло 655 пациентов. Медиана возраста составила 49 [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3: 45;56.5] лет. Минимальный возраст составил 40 лет. Максимальный возраст составил 72 лет. Медиана роста составила 165 [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3: 164;168] см. Медиана веса составила 65 [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3: 59;75] кг.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i/>
          <w:iCs/>
          <w:color w:val="000000" w:themeColor="text1"/>
          <w:lang w:val="ru-RU"/>
        </w:rPr>
        <w:t>Первичный диагноз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были поставлены следующие диагнозы: «Без патологии» было 5.1% (32/628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0.04;0.07], «Рак» было 1.59% (10/628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0.01;0.03], «Фиброаденома» в 7.96% (50/628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0.06;0.1], «Фиброзно-кистозная болезнь» в 34.87% (219/628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0.31;0.39], «Киста» в 2.71% (17/628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0.02;0.04], «Листовидная опухоль» в 1.11% (7/628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0;0.02], «Диффузный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фиброаденоматоз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» в 44.43% (279/628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0.41;0.48], «Локализованный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фиброаденоматоз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» в 2.23% (14/628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0.01;0.04]. В группе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были поставлены диагнозы: Без патологии было 6.11% (40/655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0.04;0.08], «Рак» было 5.34% (35/655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0.04;0.07], «Фиброаденома” в 12.06% (79/655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0.1;0.15], «Фиброзно-кистозная болезнь» в 28.4% (186/655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0.25;0.32], «Киста» в 3.21% (21/655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0.02;0.05], «Листовидная опухоль» в 2.29% (15/655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0.01;0.04], «Диффузный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фиброаденоматоз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» в 39.39% (258/655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0.36;0.43], «Локализованный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фиброаденоматоз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» в 2.75% (18/655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0.02;0.04],«Мастит» в 0.46% (3/655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0;0.01]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(Таблица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13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13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B552B5" w:rsidRDefault="00000000" w:rsidP="00B552B5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>
            <wp:extent cx="5040000" cy="2880000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images2/Snr/diagnosis_primary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Рисунок №2.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13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Первичный диагноз при осмотре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первичному диагнозу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-уровень </w:t>
      </w:r>
      <w:r w:rsidR="00810D00" w:rsidRPr="00B552B5">
        <w:rPr>
          <w:rFonts w:ascii="Times New Roman" w:hAnsi="Times New Roman" w:cs="Times New Roman"/>
          <w:color w:val="000000" w:themeColor="text1"/>
          <w:lang w:val="ru-RU"/>
        </w:rPr>
        <w:t>&lt;0.01.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Группы по этому показателю распределены неоднородно.</w:t>
      </w:r>
    </w:p>
    <w:p w:rsidR="00B552B5" w:rsidRDefault="00000000" w:rsidP="00B552B5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Таблица №2.1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3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</w:p>
    <w:p w:rsidR="006346D3" w:rsidRPr="00B552B5" w:rsidRDefault="00000000" w:rsidP="00B552B5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Первичный диагноз при осмотре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65"/>
        <w:gridCol w:w="2079"/>
        <w:gridCol w:w="1105"/>
        <w:gridCol w:w="2079"/>
        <w:gridCol w:w="1105"/>
        <w:gridCol w:w="772"/>
      </w:tblGrid>
      <w:tr w:rsidR="00B552B5" w:rsidRPr="00B552B5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Диагноз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С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D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810D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&lt;</w:t>
            </w:r>
            <w:r w:rsidR="00000000"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0.01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Без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патологии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5.096% (32/628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[0.04;0.07]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6.107% (40/655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[0.04;0.08]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Рак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1.592% (10/628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[0.01;0.03]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5.344% (35/655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[0.04;0.07]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Саркома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Фиброаденома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7.962% (50/628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[0.06;0.1]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12.061% (79/655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[0.1;0.15]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Фиброзно-кистозная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болезнь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34.873% (219/628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[0.31;0.39]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28.397% (186/655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[0.25;0.32]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Киста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2.707% (17/628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[0.02;0.04]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3.206% (21/655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[0.02;0.05]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Листовидная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опухоль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1.115% (7/628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2.29% (15/655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[0.01;0.04]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Внутрипротоковая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папиллома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Гиперплазия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Диффузный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фиброаденоматоз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44.427% (279/628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[0.41;0.48]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39.389% (258/655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[0.36;0.43]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Локализованный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фиброаденоматоз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2.229% (14/628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[0.01;0.04]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2.748% (18/655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[0.02;0.04]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Мастит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0.458% (3/655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Жалобы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при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осмотре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были выявлены следующие жалобы нет было 88.38% (555/628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0.86;0.91], выделения из соска были в 0.96% (6/628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0;0.02], боль была в 4.94% (31/628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0.03;0.07] и уплотнение было в 5.73% (36/628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0.04;0.08]. В группе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при осмотре жалоб не было в 74.05% (485/655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0.7;0.77], жалобы на боль была в 3.36% (22/655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0.02;0.05], на уплотнение в 22.6% (148/655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0.19;0.26]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(Таблица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14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14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B552B5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images2/Snr/complaints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Рисунок №2.1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4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Осложнения при осмотре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жалобам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-уровень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&lt;0.01.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Группы по этому показателю распределены неоднородно.</w:t>
      </w:r>
    </w:p>
    <w:p w:rsidR="00AD47A0" w:rsidRDefault="00000000" w:rsidP="00AD47A0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Таблица №2.1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4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</w:p>
    <w:p w:rsidR="006346D3" w:rsidRPr="00B552B5" w:rsidRDefault="00000000" w:rsidP="00AD47A0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Осложнения при осмотре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86"/>
        <w:gridCol w:w="2491"/>
        <w:gridCol w:w="1109"/>
        <w:gridCol w:w="2491"/>
        <w:gridCol w:w="1109"/>
        <w:gridCol w:w="819"/>
      </w:tblGrid>
      <w:tr w:rsidR="00B552B5" w:rsidRPr="00B552B5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Жалобы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С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D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B552B5" w:rsidRDefault="00810D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&lt;</w:t>
            </w:r>
            <w:r w:rsidR="00000000"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0.01</w:t>
            </w: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нет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88.376% (555/628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[0.86;0.91]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74.046% (485/655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[0.7;0.77]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есть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опухоль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выделения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из</w:t>
            </w:r>
            <w:proofErr w:type="spellEnd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соска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0.955% (6/628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боль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4.936% (31/628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[0.03;0.07]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3.359% (22/655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[0.02;0.05]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уплотнение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5.732% (36/628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[0.04;0.08]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22.595% (148/655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[0.19;0.26]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гиперемия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B552B5"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гипертермия</w:t>
            </w:r>
            <w:proofErr w:type="spellEnd"/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(0/655 случаев)</w:t>
            </w:r>
          </w:p>
        </w:tc>
        <w:tc>
          <w:tcPr>
            <w:tcW w:w="0" w:type="auto"/>
          </w:tcPr>
          <w:p w:rsidR="006346D3" w:rsidRPr="00B552B5" w:rsidRDefault="00000000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B552B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B552B5" w:rsidRDefault="006346D3" w:rsidP="00B552B5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Репродуктивный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статус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репродуктивный возраст был в 21.5% (135/628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0.18;0.25], менопауза до 5 лет в 21.97% (138/628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0.19;0.25], менопауза более 5 лет в 23.89% (150/628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0.21;0.27],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пременопауза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 32.01% (201/628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0.28;0.36], оперативная менопауза в 0.64% (4/628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0;0.02]. В группе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репродуктивный возраст был в 23.21% (152/655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0.2;0.27], менопауза до 5 лет в 15.11% (99/655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0.13;0.18], менопауза более 5 лет в 25.95% (170/655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0.23;0.3],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пременопауза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 35.73% (234/655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0.32;0.4]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(Таблица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15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5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451F9B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images2/Snr/satus_reproductive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Рисунок №2.1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5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Репродуктивный статус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репродуктивному возрасту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-уровень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>&lt;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0.01. Группы по этому показателю распределены неоднородно.</w:t>
      </w:r>
    </w:p>
    <w:p w:rsidR="00451F9B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Таблица №2.1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5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</w:p>
    <w:p w:rsidR="006346D3" w:rsidRPr="00B552B5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Репродуктивный статус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51"/>
        <w:gridCol w:w="2323"/>
        <w:gridCol w:w="1105"/>
        <w:gridCol w:w="2323"/>
        <w:gridCol w:w="1105"/>
        <w:gridCol w:w="798"/>
      </w:tblGrid>
      <w:tr w:rsidR="00B552B5" w:rsidRPr="00451F9B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Репродуктивный статус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С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D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810D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&lt;</w:t>
            </w:r>
            <w:r w:rsidR="00000000"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0.01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репродуктивный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возраст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21.497% (135/628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[0.18;0.25]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23.206% (152/655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[0.2;0.27]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менопауза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до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5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лет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21.975% (138/628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[0.19;0.25]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15.115% (99/655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[0.13;0.18]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менопауза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более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5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лет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23.885% (150/628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[0.21;0.27]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25.954% (170/655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[0.23;0.3]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пременопауза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32.006% (201/628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[0.28;0.36]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35.725% (234/655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[0.32;0.4]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оперативная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менопауза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0.637% (4/628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Операции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на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молочной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железе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операций на молочной железе в анамнезе не было в 98.25% (617/628 </w:t>
      </w:r>
      <w:r w:rsidR="00810D00" w:rsidRPr="00B552B5">
        <w:rPr>
          <w:rFonts w:ascii="Times New Roman" w:hAnsi="Times New Roman" w:cs="Times New Roman"/>
          <w:color w:val="000000" w:themeColor="text1"/>
          <w:lang w:val="ru-RU"/>
        </w:rPr>
        <w:t>случаев)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[95% ДИ 0.97;0.99] и в 1.75% было (11/628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0.01;0.03]. В группе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операций на молочной железе в анамнезе не было операций было во всех </w:t>
      </w:r>
      <w:proofErr w:type="gramStart"/>
      <w:r w:rsidRPr="00B552B5">
        <w:rPr>
          <w:rFonts w:ascii="Times New Roman" w:hAnsi="Times New Roman" w:cs="Times New Roman"/>
          <w:color w:val="000000" w:themeColor="text1"/>
          <w:lang w:val="ru-RU"/>
        </w:rPr>
        <w:t>случаях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 xml:space="preserve"> (</w:t>
      </w:r>
      <w:proofErr w:type="gramEnd"/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Таблица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6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6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451F9B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images2/Snr/breast_surgery_before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Рисунок №2.1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6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Операции на молочной железе в анамнезе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операции на молочной железе в анамнезе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-уровень </w:t>
      </w:r>
      <w:r w:rsidR="00810D00" w:rsidRPr="00B552B5">
        <w:rPr>
          <w:rFonts w:ascii="Times New Roman" w:hAnsi="Times New Roman" w:cs="Times New Roman"/>
          <w:color w:val="000000" w:themeColor="text1"/>
          <w:lang w:val="ru-RU"/>
        </w:rPr>
        <w:t>&lt;0.01.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Группы по этому показателю распределены неоднородно.</w:t>
      </w:r>
    </w:p>
    <w:p w:rsidR="00451F9B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Таблица №2.1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6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Операции на молочной железе в анамнезе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67"/>
        <w:gridCol w:w="2643"/>
        <w:gridCol w:w="1176"/>
        <w:gridCol w:w="2377"/>
        <w:gridCol w:w="973"/>
        <w:gridCol w:w="869"/>
      </w:tblGrid>
      <w:tr w:rsidR="00B552B5" w:rsidRPr="00451F9B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Операции на МЖ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С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D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810D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&lt;</w:t>
            </w:r>
            <w:r w:rsidR="00000000"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0.01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было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операций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98.248% (617/628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[0.97;0.99]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100% (655/655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[0.99;1]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были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операции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1.752% (11/628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[0.01;0.03]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Гормональные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препараты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прием гормональных препаратов был в 22.76% (142/628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0.19;0.26], в 77.24% не было (482/628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0.73;0.8]. В группе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прием гормональных препаратов был в 18.98% (123/655 </w:t>
      </w:r>
      <w:r w:rsidR="00810D00" w:rsidRPr="00B552B5">
        <w:rPr>
          <w:rFonts w:ascii="Times New Roman" w:hAnsi="Times New Roman" w:cs="Times New Roman"/>
          <w:color w:val="000000" w:themeColor="text1"/>
          <w:lang w:val="ru-RU"/>
        </w:rPr>
        <w:t>случаев)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[95% ДИ 0.16;0.22], и не было в 81.02% (525/655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0.77;0.83]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(Таблица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17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17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451F9B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images2/Snr/hormonal_medications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Рисунок №2.1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7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Прием гормональных препаратов в анамнезе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операции на молочной железе в анамнезе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-уровень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&lt;0.01.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Группы по этому показателю распределены неоднородно.</w:t>
      </w:r>
    </w:p>
    <w:p w:rsidR="00451F9B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Таблица №2.1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7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</w:p>
    <w:p w:rsidR="006346D3" w:rsidRPr="00B552B5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Прием гормональных препаратов в анамнезе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91"/>
        <w:gridCol w:w="2304"/>
        <w:gridCol w:w="1105"/>
        <w:gridCol w:w="2304"/>
        <w:gridCol w:w="1105"/>
        <w:gridCol w:w="796"/>
      </w:tblGrid>
      <w:tr w:rsidR="00B552B5" w:rsidRPr="00451F9B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Гормональные препараты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С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D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810D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&lt;</w:t>
            </w:r>
            <w:r w:rsidR="00000000"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0.01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да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22.611% (142/628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[0.19;0.26]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18.779% (123/655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[0.16;0.22]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нет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77.389% (486/628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[0.74;0.81]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81.221% (532/655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[0.78;0.84]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Генетическая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предрасположенность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генетическая предрасположенности не было в 59.71% (369/628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0.55;0.63], в 40.29% было (249/628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0.36;0.44]. В группе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генетической предрасположенности не было в 66.51% (433/655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0.62;0.7] и в 33.49% было (218/655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0.3;0.37]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 xml:space="preserve"> (Таблица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18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18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451F9B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images2/Snr/genetics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Рисунок №2.1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8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Наследственная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предрасположенность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генетической предрасположенности в анамнезе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-уровень </w:t>
      </w:r>
      <w:r w:rsidR="00451F9B" w:rsidRPr="00B552B5">
        <w:rPr>
          <w:rFonts w:ascii="Times New Roman" w:hAnsi="Times New Roman" w:cs="Times New Roman"/>
          <w:color w:val="000000" w:themeColor="text1"/>
          <w:lang w:val="ru-RU"/>
        </w:rPr>
        <w:t>&lt;0.01.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Группы по этому показателю распределены неоднородно.</w:t>
      </w:r>
    </w:p>
    <w:p w:rsidR="00451F9B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Таблица №2.1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8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</w:p>
    <w:p w:rsidR="006346D3" w:rsidRPr="00B552B5" w:rsidRDefault="00451F9B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Наследственная</w:t>
      </w:r>
      <w:r w:rsidR="00000000"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предрасположенность в группах С и </w:t>
      </w:r>
      <w:r w:rsidR="00000000" w:rsidRPr="00B552B5">
        <w:rPr>
          <w:rFonts w:ascii="Times New Roman" w:hAnsi="Times New Roman" w:cs="Times New Roman"/>
          <w:color w:val="000000" w:themeColor="text1"/>
        </w:rPr>
        <w:t>D</w:t>
      </w:r>
      <w:r w:rsidR="00000000"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0"/>
        <w:gridCol w:w="1990"/>
        <w:gridCol w:w="1105"/>
        <w:gridCol w:w="2056"/>
        <w:gridCol w:w="1005"/>
        <w:gridCol w:w="769"/>
      </w:tblGrid>
      <w:tr w:rsidR="00B552B5" w:rsidRPr="00451F9B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Наследсвенная предрасположенность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С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D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810D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&lt;</w:t>
            </w:r>
            <w:r w:rsidR="00000000"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0.01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нет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60.35% (379/628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[0.56;0.64]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66.718% (437/655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[0.63;0.7]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есть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39.65% (249/628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[0.36;0.44]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33.282% (218/655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[0.3;0.37]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lastRenderedPageBreak/>
        <w:t>Мутации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BRCA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было при исследовании мутации </w:t>
      </w:r>
      <w:r w:rsidRPr="00B552B5">
        <w:rPr>
          <w:rFonts w:ascii="Times New Roman" w:hAnsi="Times New Roman" w:cs="Times New Roman"/>
          <w:color w:val="000000" w:themeColor="text1"/>
        </w:rPr>
        <w:t>BRCA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ее не выявлено было 1.27% (8/628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0.01;0.03], в остальных случаях исследование не проводилось. В группе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при исследовании мутации </w:t>
      </w:r>
      <w:r w:rsidRPr="00B552B5">
        <w:rPr>
          <w:rFonts w:ascii="Times New Roman" w:hAnsi="Times New Roman" w:cs="Times New Roman"/>
          <w:color w:val="000000" w:themeColor="text1"/>
        </w:rPr>
        <w:t>BRCA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не было выявлено 2.29% (15/655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0.01;0.04], мутация </w:t>
      </w:r>
      <w:r w:rsidRPr="00B552B5">
        <w:rPr>
          <w:rFonts w:ascii="Times New Roman" w:hAnsi="Times New Roman" w:cs="Times New Roman"/>
          <w:color w:val="000000" w:themeColor="text1"/>
        </w:rPr>
        <w:t>BRCA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2 в 0.61% (4/655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0;0.02], образование не визуализировалось на ММГ было 1.68% (11/655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0.01;0.03], ложноположительный результат был в 0.61% (4/655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0;0.02]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(Таблица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19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19</w:t>
      </w:r>
      <w:r w:rsidR="00AD47A0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451F9B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images2/Snr/mutation_brca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Рисунок №2.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19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Мутация </w:t>
      </w:r>
      <w:r w:rsidRPr="00B552B5">
        <w:rPr>
          <w:rFonts w:ascii="Times New Roman" w:hAnsi="Times New Roman" w:cs="Times New Roman"/>
          <w:color w:val="000000" w:themeColor="text1"/>
        </w:rPr>
        <w:t>BRCA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мутации </w:t>
      </w:r>
      <w:r w:rsidRPr="00B552B5">
        <w:rPr>
          <w:rFonts w:ascii="Times New Roman" w:hAnsi="Times New Roman" w:cs="Times New Roman"/>
          <w:color w:val="000000" w:themeColor="text1"/>
        </w:rPr>
        <w:t>BRCA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 анамнезе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-уровень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>&lt;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0.01. Группы по этому показателю распределены неоднородно.</w:t>
      </w:r>
    </w:p>
    <w:p w:rsidR="00451F9B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Таблица №2.</w:t>
      </w:r>
      <w:r w:rsidR="00AD47A0">
        <w:rPr>
          <w:rFonts w:ascii="Times New Roman" w:hAnsi="Times New Roman" w:cs="Times New Roman"/>
          <w:color w:val="000000" w:themeColor="text1"/>
          <w:lang w:val="ru-RU"/>
        </w:rPr>
        <w:t>19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Мутация </w:t>
      </w:r>
      <w:r w:rsidRPr="00B552B5">
        <w:rPr>
          <w:rFonts w:ascii="Times New Roman" w:hAnsi="Times New Roman" w:cs="Times New Roman"/>
          <w:color w:val="000000" w:themeColor="text1"/>
        </w:rPr>
        <w:t>BRCA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30"/>
        <w:gridCol w:w="2096"/>
        <w:gridCol w:w="1105"/>
        <w:gridCol w:w="2096"/>
        <w:gridCol w:w="1105"/>
        <w:gridCol w:w="773"/>
      </w:tblGrid>
      <w:tr w:rsidR="00B552B5" w:rsidRPr="00451F9B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Мутация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BRCA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С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D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810D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&lt;</w:t>
            </w:r>
            <w:r w:rsidR="00000000"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0.01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Оценка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не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проводилась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98.726% (620/628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[0.97;0.99]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94.809% (621/655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[0.93;0.96]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BRCA1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мутаций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выявлено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1.274% (8/628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[0.01;0.03]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2.29% (15/655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[0.01;0.04]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BRCA2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0.611% (4/655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 xml:space="preserve">образование не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>визуал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lang w:val="ru-RU"/>
              </w:rPr>
              <w:t xml:space="preserve"> на ММГ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0% (0/628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случаев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1.679% (11/655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[0.01;0.03]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ложноположительный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0.611% (4/655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Сторона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поражения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сторона поражения при осмотре правая была в 6.69% (42/628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0.05;0.09], левая было 3.66% (23/628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0.02;0.06], поражение обеих сторон было 3.18% (20/628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0.02;0.05], в остальных случаях образование не пальпировалось. В группе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сторона поражения при осмотре была правая в 12.98% (85/655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0.11;0.16], левая в 14.05% (92/655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0.12;0.17], поражение обеих сторон было в 6.26% (41/655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0.05;0.08], в остальных случаях образование не пальпировалось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 xml:space="preserve"> (Таблица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20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20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451F9B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images2/Snr/side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Рисунок №2.2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0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Сторона поражения при осмотре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стороне поражения в анамнезе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-уровень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>&lt;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0.01. Группы по этому показателю распределены неоднородно.</w:t>
      </w:r>
    </w:p>
    <w:p w:rsidR="00451F9B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Таблица №2.2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0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</w:p>
    <w:p w:rsidR="006346D3" w:rsidRPr="00B552B5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Сторона поражения при осмотре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13"/>
        <w:gridCol w:w="2483"/>
        <w:gridCol w:w="1105"/>
        <w:gridCol w:w="2483"/>
        <w:gridCol w:w="1105"/>
        <w:gridCol w:w="816"/>
      </w:tblGrid>
      <w:tr w:rsidR="00B552B5" w:rsidRPr="00451F9B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Сторона поражения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С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D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810D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&lt;</w:t>
            </w:r>
            <w:r w:rsidR="00000000"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0.01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правая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6.688% (42/628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[0.05;0.09]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12.977% (85/655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[0.11;0.16]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левая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3.662% (23/628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[0.02;0.06]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14.046% (92/655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[0.12;0.17]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обе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3.185% (20/628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[0.02;0.05]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6.26% (41/655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[0.05;0.08]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пальпируются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86.465% (543/628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[0.83;0.89]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66.718% (437/655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[0.63;0.7]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Кожные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симптомы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кожных симптомов при осмотре не было в 99.52% (625/628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0.98;1], гиперемия была в 0.48% (3/628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0;0.02]. В группе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кожных симптомов при осмотре не было в 98.63% (646/655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0.97;0.99], отек был 0.46% (3/655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0;0.01], гиперемия была в 0.92% (6/655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0;0.02].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 xml:space="preserve"> (Таблица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21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21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451F9B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images2/Snr/skin_symptoms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Рисунок №2.2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1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Кожные симптомы при осмотре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кожным симптомам железе в анамнезе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-уровень 0.17. Группы по этому показателю распределены неоднородно.</w:t>
      </w:r>
    </w:p>
    <w:p w:rsidR="00451F9B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Таблица №2.2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1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</w:p>
    <w:p w:rsidR="006346D3" w:rsidRPr="00B552B5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Кожные симптомы при осмотре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96"/>
        <w:gridCol w:w="2549"/>
        <w:gridCol w:w="938"/>
        <w:gridCol w:w="2549"/>
        <w:gridCol w:w="1135"/>
        <w:gridCol w:w="838"/>
      </w:tblGrid>
      <w:tr w:rsidR="00B552B5" w:rsidRPr="00451F9B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Кожные симптомы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С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D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0.17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нет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99.522% (625/628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[0.98;1]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98.626% (646/655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[0.97;0.99]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0.17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умбиликация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кожи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лимонная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корка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отек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0.458% (3/655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гиперемия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0.478% (3/628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0.916% (6/655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изъязвление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эрозия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Симптом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втягивания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соска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симптома втягивания соска при осмотре не было в 95.54% (600/628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0.94;0.97], и было в 4.46% (28/628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0.03;0.06]. В группе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симптома втягивания соска при осмотре нет было в 96.49% (632/655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0.95;0.98], симптом был в 3.51% (23/655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0.02;0.05]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(Таблица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22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22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451F9B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images2/Snr/nipple_retraction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Рисунок №2.2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Симптом втягивания соска при осмотре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симптому втягивания соска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-уровень 0.08. Группы по этому показателю распределены однородно.</w:t>
      </w:r>
    </w:p>
    <w:p w:rsidR="00451F9B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Таблица №2.2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</w:p>
    <w:p w:rsidR="006346D3" w:rsidRPr="00B552B5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Симптом втягивания соска при осмотре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3"/>
        <w:gridCol w:w="2533"/>
        <w:gridCol w:w="1127"/>
        <w:gridCol w:w="2533"/>
        <w:gridCol w:w="1127"/>
        <w:gridCol w:w="832"/>
      </w:tblGrid>
      <w:tr w:rsidR="00B552B5" w:rsidRPr="00451F9B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Втягивание соска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С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D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0.08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нет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95.541% (600/628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[0.94;0.97]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96.489% (632/655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[0.95;0.98]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0.08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да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4.459% (28/628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[0.03;0.06]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3.511% (23/655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[0.02;0.05]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Выделения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из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соска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выделений из соска при осмотре не было в 99.52% (625/628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0.98;1], кровянистые были в 0.48% (3/628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0;0.02]. В группе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выделения из соска при осмотре не был в 98.32% (644/655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0.97;0.99], светлые выделения не были 1.22% (8/655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0.01;0.02], кровянистые были в 0.46% (3/655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0;0.01]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(Таблица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23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23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451F9B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images2/Snr/nipple_release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Рисунок №2.2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3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Симптом выделения из соска при осмотре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симптому выделения из соска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-уровень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>&lt;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0.01. Группы по этому показателю распределены неоднородно.</w:t>
      </w:r>
    </w:p>
    <w:p w:rsidR="00451F9B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Таблица №2.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23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</w:p>
    <w:p w:rsidR="006346D3" w:rsidRPr="00B552B5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Симптом выделения из соска при осмотре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56"/>
        <w:gridCol w:w="2530"/>
        <w:gridCol w:w="931"/>
        <w:gridCol w:w="2530"/>
        <w:gridCol w:w="1126"/>
        <w:gridCol w:w="832"/>
      </w:tblGrid>
      <w:tr w:rsidR="00B552B5" w:rsidRPr="00451F9B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Выделения из соска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С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D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810D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&lt;</w:t>
            </w:r>
            <w:r w:rsidR="00000000"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0.01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нет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99.522% (625/628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[0.98;1]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98.321% (644/655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[0.97;0.99]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светлые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1.221% (8/655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[0.01;0.02]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кровянистые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0.478% (3/628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0.458% (3/655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гноевидные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Тип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плотности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тип плотности по </w:t>
      </w:r>
      <w:r w:rsidRPr="00B552B5">
        <w:rPr>
          <w:rFonts w:ascii="Times New Roman" w:hAnsi="Times New Roman" w:cs="Times New Roman"/>
          <w:color w:val="000000" w:themeColor="text1"/>
        </w:rPr>
        <w:t>ACR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при осмотре был «</w:t>
      </w:r>
      <w:r w:rsidRPr="00B552B5">
        <w:rPr>
          <w:rFonts w:ascii="Times New Roman" w:hAnsi="Times New Roman" w:cs="Times New Roman"/>
          <w:color w:val="000000" w:themeColor="text1"/>
        </w:rPr>
        <w:t>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» 87.34% (545/628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0.84;0.89], тип «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» было 12.66% (79/628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0.1;0.15]. В группе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тип плотности по </w:t>
      </w:r>
      <w:r w:rsidRPr="00B552B5">
        <w:rPr>
          <w:rFonts w:ascii="Times New Roman" w:hAnsi="Times New Roman" w:cs="Times New Roman"/>
          <w:color w:val="000000" w:themeColor="text1"/>
        </w:rPr>
        <w:t>ACR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при осмотре был «С» 88.55% (580/655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0.86;0.91], тип «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»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былл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11.45% (75/655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0.09;0.14]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(Таблица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24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24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451F9B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10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" descr="images2/Snr/type_structure_acr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Рисунок №2.2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4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Тип структуры </w:t>
      </w:r>
      <w:r w:rsidRPr="00B552B5">
        <w:rPr>
          <w:rFonts w:ascii="Times New Roman" w:hAnsi="Times New Roman" w:cs="Times New Roman"/>
          <w:color w:val="000000" w:themeColor="text1"/>
        </w:rPr>
        <w:t>ACR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операции на молочной железе в анамнезе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-уровень 0.55. Группы по этому показателю распределены однородно.</w:t>
      </w:r>
    </w:p>
    <w:p w:rsidR="00451F9B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Таблица №2.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24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</w:p>
    <w:p w:rsidR="006346D3" w:rsidRPr="00B552B5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Тип структуры </w:t>
      </w:r>
      <w:r w:rsidRPr="00B552B5">
        <w:rPr>
          <w:rFonts w:ascii="Times New Roman" w:hAnsi="Times New Roman" w:cs="Times New Roman"/>
          <w:color w:val="000000" w:themeColor="text1"/>
        </w:rPr>
        <w:t>ACR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68"/>
        <w:gridCol w:w="2521"/>
        <w:gridCol w:w="1063"/>
        <w:gridCol w:w="2521"/>
        <w:gridCol w:w="1169"/>
        <w:gridCol w:w="863"/>
      </w:tblGrid>
      <w:tr w:rsidR="00B552B5" w:rsidRPr="00451F9B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Структрура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ACR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С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D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0.55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С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87.42% (549/628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[0.85;0.9]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88.55% (580/655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[0.86;0.91]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D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12.58% (79/628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[0.1;0.15]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11.45% (75/655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[0.09;0.14]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Квадрант</w:t>
      </w:r>
      <w:proofErr w:type="spellEnd"/>
      <w:r w:rsidRPr="00B552B5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i/>
          <w:iCs/>
          <w:color w:val="000000" w:themeColor="text1"/>
        </w:rPr>
        <w:t>локализации</w:t>
      </w:r>
      <w:proofErr w:type="spellEnd"/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В группе </w:t>
      </w:r>
      <w:r w:rsidRPr="00B552B5">
        <w:rPr>
          <w:rFonts w:ascii="Times New Roman" w:hAnsi="Times New Roman" w:cs="Times New Roman"/>
          <w:color w:val="000000" w:themeColor="text1"/>
        </w:rPr>
        <w:t>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квадрант локализации верхне-наружный было 7.48% (47/628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0.06;0.1], верхне-внутренний в 1.75% (11/628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0.01;0.03], нижне-наружный в 1.11% (7/628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0;0.02], нижне-внутренний в 1.91% (12/628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0.01;0.03], граница наружного в 0.96% (6/628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0;0.02],граница верхнего в 1.75% (11/628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0.01;0.03], граница нижних в 0.48% (3/628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0;0.02]. В группе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квадрант локализации верхне-наружный было в13.44% (88/655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0.11;0.16], верхне-внутренний в 7.48% (49/655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0.06;0.1], нижне-наружный в 2.75% (18/655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0.02;0.04], нижне-внутренний в 1.07% (7/655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0;0.02], граница наружного в 3.36% (22/655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0.02;0.05], граница верхнего в 1.53% (10/655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0.01;0.03], граница нижних в 1.07% (7/655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0;0.02], вся железа в 1.07% (7/655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[95% ДИ 0;0.02]., центральный квадрант было 1.07% (7/655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 xml:space="preserve">случаев)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[95% ДИ 0;0.02]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 xml:space="preserve"> (Таблица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25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, Рисунок 2.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25</w:t>
      </w:r>
      <w:r w:rsidR="00457C2B"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451F9B">
      <w:pPr>
        <w:pStyle w:val="a0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>
            <wp:extent cx="5040000" cy="2880000"/>
            <wp:effectExtent l="0" t="0" r="0" b="0"/>
            <wp:docPr id="1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" descr="images2/Snr/quadrant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Рисунок №2.2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5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Квадрант локализации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Разница между группами по операции на молочной железе в анамнезе составила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-уровень </w:t>
      </w:r>
      <w:r w:rsidR="00810D00">
        <w:rPr>
          <w:rFonts w:ascii="Times New Roman" w:hAnsi="Times New Roman" w:cs="Times New Roman"/>
          <w:color w:val="000000" w:themeColor="text1"/>
          <w:lang w:val="ru-RU"/>
        </w:rPr>
        <w:t>&lt;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0.01. Группы по этому показателю распределены неоднородно.</w:t>
      </w:r>
    </w:p>
    <w:p w:rsidR="00451F9B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Таблица №2.2</w:t>
      </w:r>
      <w:r w:rsidR="00457C2B">
        <w:rPr>
          <w:rFonts w:ascii="Times New Roman" w:hAnsi="Times New Roman" w:cs="Times New Roman"/>
          <w:color w:val="000000" w:themeColor="text1"/>
          <w:lang w:val="ru-RU"/>
        </w:rPr>
        <w:t>5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</w:t>
      </w:r>
    </w:p>
    <w:p w:rsidR="006346D3" w:rsidRPr="00B552B5" w:rsidRDefault="00000000" w:rsidP="00451F9B">
      <w:pPr>
        <w:pStyle w:val="a0"/>
        <w:spacing w:line="360" w:lineRule="auto"/>
        <w:jc w:val="right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Квадрант локализации в группах С и </w:t>
      </w:r>
      <w:r w:rsidRPr="00B552B5">
        <w:rPr>
          <w:rFonts w:ascii="Times New Roman" w:hAnsi="Times New Roman" w:cs="Times New Roman"/>
          <w:color w:val="000000" w:themeColor="text1"/>
        </w:rPr>
        <w:t>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094"/>
        <w:gridCol w:w="2397"/>
        <w:gridCol w:w="1105"/>
        <w:gridCol w:w="2397"/>
        <w:gridCol w:w="1105"/>
        <w:gridCol w:w="807"/>
      </w:tblGrid>
      <w:tr w:rsidR="00B552B5" w:rsidRPr="00451F9B" w:rsidTr="00634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Квадрант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Процентная доля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95% ДИ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p-value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Группы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С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Группа D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:rsidR="006346D3" w:rsidRPr="00451F9B" w:rsidRDefault="00810D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&lt;</w:t>
            </w:r>
            <w:r w:rsidR="00000000"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0.01</w:t>
            </w: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нет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84.554% (531/628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[0.81;0.87]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67.176% (440/655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[0.63;0.71]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верхне-наружный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7.484% (47/628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[0.06;0.1]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13.435% (88/655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[0.11;0.16]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верхне-внутренний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1.752% (11/628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[0.01;0.03]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7.481% (49/655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[0.06;0.1]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нижне-наружный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1.115% (7/628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2.748% (18/655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[0.02;0.04]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нижне-внутренний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1.911% (12/628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[0.01;0.03]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1.069% (7/655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граница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внутреннего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граница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наружного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0.955% (6/628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3.359% (22/655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[0.02;0.05]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граница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верхнего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1.752% (11/628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[0.01;0.03]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1.527% (10/655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[0.01;0.03]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граница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нижних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0.478% (3/628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1.069% (7/655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вся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железа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1.069% (7/655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1/2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железы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  <w:tr w:rsidR="00B552B5" w:rsidRPr="00451F9B"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центральный</w:t>
            </w:r>
            <w:proofErr w:type="spellEnd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квадрант</w:t>
            </w:r>
            <w:proofErr w:type="spellEnd"/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0% (0/628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[0;0.01]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1.069% (7/655 случаев)</w:t>
            </w:r>
          </w:p>
        </w:tc>
        <w:tc>
          <w:tcPr>
            <w:tcW w:w="0" w:type="auto"/>
          </w:tcPr>
          <w:p w:rsidR="006346D3" w:rsidRPr="00451F9B" w:rsidRDefault="00000000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451F9B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[0;0.02]</w:t>
            </w:r>
          </w:p>
        </w:tc>
        <w:tc>
          <w:tcPr>
            <w:tcW w:w="0" w:type="auto"/>
          </w:tcPr>
          <w:p w:rsidR="006346D3" w:rsidRPr="00451F9B" w:rsidRDefault="006346D3" w:rsidP="00451F9B">
            <w:pPr>
              <w:pStyle w:val="Compact"/>
              <w:jc w:val="both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</w:tc>
      </w:tr>
    </w:tbl>
    <w:p w:rsidR="006346D3" w:rsidRPr="00B552B5" w:rsidRDefault="00000000" w:rsidP="00B552B5">
      <w:pPr>
        <w:pStyle w:val="2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4" w:name="статистический-анализ-данных"/>
      <w:bookmarkEnd w:id="9"/>
      <w:bookmarkEnd w:id="13"/>
      <w:r w:rsidRPr="00B552B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2.6 </w:t>
      </w:r>
      <w:proofErr w:type="spellStart"/>
      <w:r w:rsidRPr="00B552B5">
        <w:rPr>
          <w:rFonts w:ascii="Times New Roman" w:hAnsi="Times New Roman" w:cs="Times New Roman"/>
          <w:color w:val="000000" w:themeColor="text1"/>
          <w:sz w:val="24"/>
          <w:szCs w:val="24"/>
        </w:rPr>
        <w:t>Статистический</w:t>
      </w:r>
      <w:proofErr w:type="spellEnd"/>
      <w:r w:rsidRPr="00B552B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52B5">
        <w:rPr>
          <w:rFonts w:ascii="Times New Roman" w:hAnsi="Times New Roman" w:cs="Times New Roman"/>
          <w:color w:val="000000" w:themeColor="text1"/>
          <w:sz w:val="24"/>
          <w:szCs w:val="24"/>
        </w:rPr>
        <w:t>анализ</w:t>
      </w:r>
      <w:proofErr w:type="spellEnd"/>
      <w:r w:rsidRPr="00B552B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52B5">
        <w:rPr>
          <w:rFonts w:ascii="Times New Roman" w:hAnsi="Times New Roman" w:cs="Times New Roman"/>
          <w:color w:val="000000" w:themeColor="text1"/>
          <w:sz w:val="24"/>
          <w:szCs w:val="24"/>
        </w:rPr>
        <w:t>данных</w:t>
      </w:r>
      <w:proofErr w:type="spellEnd"/>
    </w:p>
    <w:p w:rsidR="006346D3" w:rsidRPr="00B552B5" w:rsidRDefault="00000000" w:rsidP="00B552B5">
      <w:pPr>
        <w:pStyle w:val="FirstParagraph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Статистическая обработка проводилась с помощью языка </w:t>
      </w:r>
      <w:r w:rsidRPr="00B552B5">
        <w:rPr>
          <w:rFonts w:ascii="Times New Roman" w:hAnsi="Times New Roman" w:cs="Times New Roman"/>
          <w:color w:val="000000" w:themeColor="text1"/>
        </w:rPr>
        <w:t>R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версии 4.3.0 (2023-04-21). В качестве среды разработки использовалась </w:t>
      </w:r>
      <w:r w:rsidR="00810D00" w:rsidRPr="00B552B5">
        <w:rPr>
          <w:rFonts w:ascii="Times New Roman" w:hAnsi="Times New Roman" w:cs="Times New Roman"/>
          <w:color w:val="000000" w:themeColor="text1"/>
          <w:lang w:val="ru-RU"/>
        </w:rPr>
        <w:t>программа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RStudio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версия 2023.06.0+421 (2023.06.0+421). Для определения числа наблюдений при каждом типе воздействия в каждой группе производился расчет мощности пропорций при уровне значимости 95% и мощностью </w:t>
      </w:r>
      <w:r w:rsidRPr="00B552B5">
        <w:rPr>
          <w:rFonts w:ascii="Times New Roman" w:hAnsi="Times New Roman" w:cs="Times New Roman"/>
          <w:color w:val="000000" w:themeColor="text1"/>
        </w:rPr>
        <w:t xml:space="preserve">0.8 с </w:t>
      </w:r>
      <w:proofErr w:type="spellStart"/>
      <w:r w:rsidRPr="00B552B5">
        <w:rPr>
          <w:rFonts w:ascii="Times New Roman" w:hAnsi="Times New Roman" w:cs="Times New Roman"/>
          <w:color w:val="000000" w:themeColor="text1"/>
        </w:rPr>
        <w:t>предварительным</w:t>
      </w:r>
      <w:proofErr w:type="spellEnd"/>
      <w:r w:rsidRPr="00B552B5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B552B5">
        <w:rPr>
          <w:rFonts w:ascii="Times New Roman" w:hAnsi="Times New Roman" w:cs="Times New Roman"/>
          <w:color w:val="000000" w:themeColor="text1"/>
        </w:rPr>
        <w:t>расчетом</w:t>
      </w:r>
      <w:proofErr w:type="spellEnd"/>
      <w:r w:rsidRPr="00B552B5">
        <w:rPr>
          <w:rFonts w:ascii="Times New Roman" w:hAnsi="Times New Roman" w:cs="Times New Roman"/>
          <w:color w:val="000000" w:themeColor="text1"/>
        </w:rPr>
        <w:t xml:space="preserve"> велечены эффекта (h) по следующей формуле: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h</m:t>
          </m:r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</w:rPr>
            <m:t>=</m:t>
          </m:r>
          <m:r>
            <w:rPr>
              <w:rFonts w:ascii="Cambria Math" w:hAnsi="Cambria Math" w:cs="Times New Roman"/>
              <w:color w:val="000000" w:themeColor="text1"/>
            </w:rPr>
            <m:t>2arcsin</m:t>
          </m:r>
          <m:d>
            <m:d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</w:rPr>
                <m:t>p1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color w:val="000000" w:themeColor="text1"/>
            </w:rPr>
            <m:t>-</m:t>
          </m:r>
          <m:r>
            <w:rPr>
              <w:rFonts w:ascii="Cambria Math" w:hAnsi="Cambria Math" w:cs="Times New Roman"/>
              <w:color w:val="000000" w:themeColor="text1"/>
            </w:rPr>
            <m:t>2arcsin</m:t>
          </m:r>
          <m:d>
            <m:dPr>
              <m:ctrlPr>
                <w:rPr>
                  <w:rFonts w:ascii="Cambria Math" w:hAnsi="Cambria Math" w:cs="Times New Roman"/>
                  <w:color w:val="000000" w:themeColor="text1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</w:rPr>
                <m:t>p2</m:t>
              </m:r>
            </m:e>
          </m:d>
        </m:oMath>
      </m:oMathPara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Обозначения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1 и 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2 соответствуют сравниваемым пропорциям. Функции “</w:t>
      </w:r>
      <w:proofErr w:type="spellStart"/>
      <w:r w:rsidRPr="00B552B5">
        <w:rPr>
          <w:rFonts w:ascii="Times New Roman" w:hAnsi="Times New Roman" w:cs="Times New Roman"/>
          <w:color w:val="000000" w:themeColor="text1"/>
        </w:rPr>
        <w:t>pwr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>.2</w:t>
      </w:r>
      <w:r w:rsidRPr="00B552B5">
        <w:rPr>
          <w:rFonts w:ascii="Times New Roman" w:hAnsi="Times New Roman" w:cs="Times New Roman"/>
          <w:color w:val="000000" w:themeColor="text1"/>
        </w:rPr>
        <w:t>p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  <w:r w:rsidRPr="00B552B5">
        <w:rPr>
          <w:rFonts w:ascii="Times New Roman" w:hAnsi="Times New Roman" w:cs="Times New Roman"/>
          <w:color w:val="000000" w:themeColor="text1"/>
        </w:rPr>
        <w:t>test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()” для расчета мощности пропорций использовались из пакета “</w:t>
      </w:r>
      <w:r w:rsidRPr="00B552B5">
        <w:rPr>
          <w:rFonts w:ascii="Times New Roman" w:hAnsi="Times New Roman" w:cs="Times New Roman"/>
          <w:color w:val="000000" w:themeColor="text1"/>
        </w:rPr>
        <w:t>library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(</w:t>
      </w:r>
      <w:proofErr w:type="spellStart"/>
      <w:r w:rsidRPr="00B552B5">
        <w:rPr>
          <w:rFonts w:ascii="Times New Roman" w:hAnsi="Times New Roman" w:cs="Times New Roman"/>
          <w:color w:val="000000" w:themeColor="text1"/>
        </w:rPr>
        <w:t>pwr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)”. Данные, необходимые для расчета </w:t>
      </w:r>
      <w:r w:rsidR="00810D00" w:rsidRPr="00B552B5">
        <w:rPr>
          <w:rFonts w:ascii="Times New Roman" w:hAnsi="Times New Roman" w:cs="Times New Roman"/>
          <w:color w:val="000000" w:themeColor="text1"/>
          <w:lang w:val="ru-RU"/>
        </w:rPr>
        <w:t>величины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эффекта были взяты из исследования </w:t>
      </w:r>
      <w:r w:rsidRPr="00B552B5">
        <w:rPr>
          <w:rFonts w:ascii="Times New Roman" w:hAnsi="Times New Roman" w:cs="Times New Roman"/>
          <w:color w:val="000000" w:themeColor="text1"/>
        </w:rPr>
        <w:t>Xin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Y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 и коллег (2021) (</w:t>
      </w:r>
      <w:r w:rsidRPr="00B552B5">
        <w:rPr>
          <w:rFonts w:ascii="Times New Roman" w:hAnsi="Times New Roman" w:cs="Times New Roman"/>
          <w:color w:val="000000" w:themeColor="text1"/>
        </w:rPr>
        <w:t>Xin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et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al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. 2021). </w:t>
      </w:r>
      <w:r w:rsidR="00810D00" w:rsidRPr="00B552B5">
        <w:rPr>
          <w:rFonts w:ascii="Times New Roman" w:hAnsi="Times New Roman" w:cs="Times New Roman"/>
          <w:color w:val="000000" w:themeColor="text1"/>
          <w:lang w:val="ru-RU"/>
        </w:rPr>
        <w:t>Получено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значение умножалось на 1.15 (то есть +15%), чтобы учесть возможность устранения неподходящих к исследованию данных с сохранением </w:t>
      </w:r>
      <w:r w:rsidR="00810D00" w:rsidRPr="00B552B5">
        <w:rPr>
          <w:rFonts w:ascii="Times New Roman" w:hAnsi="Times New Roman" w:cs="Times New Roman"/>
          <w:color w:val="000000" w:themeColor="text1"/>
          <w:lang w:val="ru-RU"/>
        </w:rPr>
        <w:t>необходимого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объема. По результатам расчета в выборке пациенток до 40 лет для достижения эффекта нужно исследовать не менее 1430 пациенток, в настоящем исследовании было на 5.66% больше от необходимого. В выборке пациенток 40 лет и старше для достижения эффекта нужно исследовать не менее 1256 пациенток, в нашем исследовании было на 2.15% больше от необходимого.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>Для описания количественных показателей проводилась оценка на нормальность распределения, в качестве метода использовался критерий Шапиро-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Уилка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: функция </w:t>
      </w:r>
      <w:proofErr w:type="spellStart"/>
      <w:r w:rsidRPr="00B552B5">
        <w:rPr>
          <w:rFonts w:ascii="Times New Roman" w:hAnsi="Times New Roman" w:cs="Times New Roman"/>
          <w:color w:val="000000" w:themeColor="text1"/>
        </w:rPr>
        <w:t>shapiro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  <w:proofErr w:type="gramStart"/>
      <w:r w:rsidRPr="00B552B5">
        <w:rPr>
          <w:rFonts w:ascii="Times New Roman" w:hAnsi="Times New Roman" w:cs="Times New Roman"/>
          <w:color w:val="000000" w:themeColor="text1"/>
        </w:rPr>
        <w:t>test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(</w:t>
      </w:r>
      <w:proofErr w:type="gram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) из пакета </w:t>
      </w:r>
      <w:r w:rsidRPr="00B552B5">
        <w:rPr>
          <w:rFonts w:ascii="Times New Roman" w:hAnsi="Times New Roman" w:cs="Times New Roman"/>
          <w:color w:val="000000" w:themeColor="text1"/>
        </w:rPr>
        <w:t>stat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версия 3.6.2. Переменные, имеющие нормальное распределение, описывались как среднее ± стандартное отклонение (</w:t>
      </w:r>
      <w:r w:rsidRPr="00B552B5">
        <w:rPr>
          <w:rFonts w:ascii="Times New Roman" w:hAnsi="Times New Roman" w:cs="Times New Roman"/>
          <w:color w:val="000000" w:themeColor="text1"/>
        </w:rPr>
        <w:t>M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±</w:t>
      </w:r>
      <w:r w:rsidRPr="00B552B5">
        <w:rPr>
          <w:rFonts w:ascii="Times New Roman" w:hAnsi="Times New Roman" w:cs="Times New Roman"/>
          <w:color w:val="000000" w:themeColor="text1"/>
        </w:rPr>
        <w:t>SD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). Переменные, распределение которых отличалось от нормального, описывались при помощи значений медианы (</w:t>
      </w:r>
      <w:r w:rsidRPr="00B552B5">
        <w:rPr>
          <w:rFonts w:ascii="Times New Roman" w:hAnsi="Times New Roman" w:cs="Times New Roman"/>
          <w:color w:val="000000" w:themeColor="text1"/>
        </w:rPr>
        <w:t>Me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) и нижнего и верхнего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квартилеи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>̆ (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1-</w:t>
      </w:r>
      <w:r w:rsidRPr="00B552B5">
        <w:rPr>
          <w:rFonts w:ascii="Times New Roman" w:hAnsi="Times New Roman" w:cs="Times New Roman"/>
          <w:color w:val="000000" w:themeColor="text1"/>
        </w:rPr>
        <w:t>Q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3). Для определения статистически значимой разницы 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непрерывных величин использовали критерий Манна-Уитни для независимых непараметрических выборок при ненормальном распределении (функция </w:t>
      </w:r>
      <w:proofErr w:type="spellStart"/>
      <w:r w:rsidRPr="00B552B5">
        <w:rPr>
          <w:rFonts w:ascii="Times New Roman" w:hAnsi="Times New Roman" w:cs="Times New Roman"/>
          <w:color w:val="000000" w:themeColor="text1"/>
        </w:rPr>
        <w:t>wilcox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  <w:proofErr w:type="gramStart"/>
      <w:r w:rsidRPr="00B552B5">
        <w:rPr>
          <w:rFonts w:ascii="Times New Roman" w:hAnsi="Times New Roman" w:cs="Times New Roman"/>
          <w:color w:val="000000" w:themeColor="text1"/>
        </w:rPr>
        <w:t>test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(</w:t>
      </w:r>
      <w:proofErr w:type="gram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) из пакета </w:t>
      </w:r>
      <w:r w:rsidRPr="00B552B5">
        <w:rPr>
          <w:rFonts w:ascii="Times New Roman" w:hAnsi="Times New Roman" w:cs="Times New Roman"/>
          <w:color w:val="000000" w:themeColor="text1"/>
        </w:rPr>
        <w:t>stats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версия 3.6.2) и </w:t>
      </w:r>
      <w:r w:rsidRPr="00B552B5">
        <w:rPr>
          <w:rFonts w:ascii="Times New Roman" w:hAnsi="Times New Roman" w:cs="Times New Roman"/>
          <w:color w:val="000000" w:themeColor="text1"/>
        </w:rPr>
        <w:t>t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-критерий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Стюдента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для независимых параметрических выборок при нормальном (функция </w:t>
      </w:r>
      <w:r w:rsidRPr="00B552B5">
        <w:rPr>
          <w:rFonts w:ascii="Times New Roman" w:hAnsi="Times New Roman" w:cs="Times New Roman"/>
          <w:color w:val="000000" w:themeColor="text1"/>
        </w:rPr>
        <w:t>t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  <w:r w:rsidRPr="00B552B5">
        <w:rPr>
          <w:rFonts w:ascii="Times New Roman" w:hAnsi="Times New Roman" w:cs="Times New Roman"/>
          <w:color w:val="000000" w:themeColor="text1"/>
        </w:rPr>
        <w:t>test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() из пакета </w:t>
      </w:r>
      <w:r w:rsidRPr="00B552B5">
        <w:rPr>
          <w:rFonts w:ascii="Times New Roman" w:hAnsi="Times New Roman" w:cs="Times New Roman"/>
          <w:color w:val="000000" w:themeColor="text1"/>
        </w:rPr>
        <w:t>stats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версия 3.6.2). Для определения статистически значимой разницы независимых качественных величин Хи-квадрат Пирсона (</w:t>
      </w:r>
      <w:proofErr w:type="spellStart"/>
      <w:r w:rsidRPr="00B552B5">
        <w:rPr>
          <w:rFonts w:ascii="Times New Roman" w:hAnsi="Times New Roman" w:cs="Times New Roman"/>
          <w:color w:val="000000" w:themeColor="text1"/>
        </w:rPr>
        <w:t>chisq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  <w:r w:rsidRPr="00B552B5">
        <w:rPr>
          <w:rFonts w:ascii="Times New Roman" w:hAnsi="Times New Roman" w:cs="Times New Roman"/>
          <w:color w:val="000000" w:themeColor="text1"/>
        </w:rPr>
        <w:t>test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из пакета </w:t>
      </w:r>
      <w:r w:rsidRPr="00B552B5">
        <w:rPr>
          <w:rFonts w:ascii="Times New Roman" w:hAnsi="Times New Roman" w:cs="Times New Roman"/>
          <w:color w:val="000000" w:themeColor="text1"/>
        </w:rPr>
        <w:t>stats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версия 3.6.2), при недостаточном количестве наблюдений, то есть число наблюдений в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любои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̆ из ячеек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четырехпольнои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̆ таблицы было менее 5 </w:t>
      </w:r>
      <w:r w:rsidR="00810D00" w:rsidRPr="00B552B5">
        <w:rPr>
          <w:rFonts w:ascii="Times New Roman" w:hAnsi="Times New Roman" w:cs="Times New Roman"/>
          <w:color w:val="000000" w:themeColor="text1"/>
          <w:lang w:val="ru-RU"/>
        </w:rPr>
        <w:t>наблюдений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, использовался точный критерий Фишера (</w:t>
      </w:r>
      <w:r w:rsidRPr="00B552B5">
        <w:rPr>
          <w:rFonts w:ascii="Times New Roman" w:hAnsi="Times New Roman" w:cs="Times New Roman"/>
          <w:color w:val="000000" w:themeColor="text1"/>
        </w:rPr>
        <w:t>fisher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.</w:t>
      </w:r>
      <w:r w:rsidRPr="00B552B5">
        <w:rPr>
          <w:rFonts w:ascii="Times New Roman" w:hAnsi="Times New Roman" w:cs="Times New Roman"/>
          <w:color w:val="000000" w:themeColor="text1"/>
        </w:rPr>
        <w:t>test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из пакета </w:t>
      </w:r>
      <w:r w:rsidRPr="00B552B5">
        <w:rPr>
          <w:rFonts w:ascii="Times New Roman" w:hAnsi="Times New Roman" w:cs="Times New Roman"/>
          <w:color w:val="000000" w:themeColor="text1"/>
        </w:rPr>
        <w:t>stats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версия 3.6.2).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Для определения чувствительности,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спецефичности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и точности использовалась функция </w:t>
      </w:r>
      <w:proofErr w:type="spellStart"/>
      <w:proofErr w:type="gramStart"/>
      <w:r w:rsidRPr="00B552B5">
        <w:rPr>
          <w:rFonts w:ascii="Times New Roman" w:hAnsi="Times New Roman" w:cs="Times New Roman"/>
          <w:color w:val="000000" w:themeColor="text1"/>
        </w:rPr>
        <w:t>confusionMatrix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>(</w:t>
      </w:r>
      <w:proofErr w:type="gram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) из библиотека </w:t>
      </w:r>
      <w:r w:rsidRPr="00B552B5">
        <w:rPr>
          <w:rFonts w:ascii="Times New Roman" w:hAnsi="Times New Roman" w:cs="Times New Roman"/>
          <w:color w:val="000000" w:themeColor="text1"/>
        </w:rPr>
        <w:t>caret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версия 3.45. При определении эффективности диагностических методов УЗИ, ММГ </w:t>
      </w:r>
      <w:r w:rsidRPr="00B552B5">
        <w:rPr>
          <w:rFonts w:ascii="Times New Roman" w:hAnsi="Times New Roman" w:cs="Times New Roman"/>
          <w:color w:val="000000" w:themeColor="text1"/>
        </w:rPr>
        <w:t>ABUS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 нахождении злокачественных новообразований в качестве контрольного метода использовались данные гистологического исследования. При определении эффективности диагностических методов УЗИ и </w:t>
      </w:r>
      <w:r w:rsidRPr="00B552B5">
        <w:rPr>
          <w:rFonts w:ascii="Times New Roman" w:hAnsi="Times New Roman" w:cs="Times New Roman"/>
          <w:color w:val="000000" w:themeColor="text1"/>
        </w:rPr>
        <w:t>ABUS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 нахождении </w:t>
      </w:r>
      <w:proofErr w:type="spellStart"/>
      <w:r w:rsidRPr="00B552B5">
        <w:rPr>
          <w:rFonts w:ascii="Times New Roman" w:hAnsi="Times New Roman" w:cs="Times New Roman"/>
          <w:color w:val="000000" w:themeColor="text1"/>
          <w:lang w:val="ru-RU"/>
        </w:rPr>
        <w:t>кальцинатов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 качестве контрольного метода использовались данные ММГ исследования.</w:t>
      </w:r>
    </w:p>
    <w:p w:rsidR="006346D3" w:rsidRPr="00B552B5" w:rsidRDefault="00000000" w:rsidP="00B552B5">
      <w:pPr>
        <w:pStyle w:val="a0"/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Для </w:t>
      </w:r>
      <w:r w:rsidR="00810D00" w:rsidRPr="00B552B5">
        <w:rPr>
          <w:rFonts w:ascii="Times New Roman" w:hAnsi="Times New Roman" w:cs="Times New Roman"/>
          <w:color w:val="000000" w:themeColor="text1"/>
          <w:lang w:val="ru-RU"/>
        </w:rPr>
        <w:t>построения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предсказательной модели на основании данных использовалась логистическая регрессия с помощью функций </w:t>
      </w:r>
      <w:proofErr w:type="spellStart"/>
      <w:r w:rsidRPr="00B552B5">
        <w:rPr>
          <w:rFonts w:ascii="Times New Roman" w:hAnsi="Times New Roman" w:cs="Times New Roman"/>
          <w:color w:val="000000" w:themeColor="text1"/>
        </w:rPr>
        <w:t>glm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(), </w:t>
      </w:r>
      <w:proofErr w:type="gramStart"/>
      <w:r w:rsidRPr="00B552B5">
        <w:rPr>
          <w:rFonts w:ascii="Times New Roman" w:hAnsi="Times New Roman" w:cs="Times New Roman"/>
          <w:color w:val="000000" w:themeColor="text1"/>
        </w:rPr>
        <w:t>predict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(</w:t>
      </w:r>
      <w:proofErr w:type="gram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) из пакета </w:t>
      </w:r>
      <w:r w:rsidRPr="00B552B5">
        <w:rPr>
          <w:rFonts w:ascii="Times New Roman" w:hAnsi="Times New Roman" w:cs="Times New Roman"/>
          <w:color w:val="000000" w:themeColor="text1"/>
        </w:rPr>
        <w:t>stats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версия 3.6.2. Для оценки </w:t>
      </w:r>
      <w:r w:rsidR="00810D00" w:rsidRPr="00B552B5">
        <w:rPr>
          <w:rFonts w:ascii="Times New Roman" w:hAnsi="Times New Roman" w:cs="Times New Roman"/>
          <w:color w:val="000000" w:themeColor="text1"/>
          <w:lang w:val="ru-RU"/>
        </w:rPr>
        <w:t>получено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предсказательной модели и построения </w:t>
      </w:r>
      <w:r w:rsidRPr="00B552B5">
        <w:rPr>
          <w:rFonts w:ascii="Times New Roman" w:hAnsi="Times New Roman" w:cs="Times New Roman"/>
          <w:color w:val="000000" w:themeColor="text1"/>
        </w:rPr>
        <w:t>ROC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-кривой с расчетом площади под кривой (</w:t>
      </w:r>
      <w:r w:rsidRPr="00B552B5">
        <w:rPr>
          <w:rFonts w:ascii="Times New Roman" w:hAnsi="Times New Roman" w:cs="Times New Roman"/>
          <w:color w:val="000000" w:themeColor="text1"/>
        </w:rPr>
        <w:t>AUC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- </w:t>
      </w:r>
      <w:r w:rsidRPr="00B552B5">
        <w:rPr>
          <w:rFonts w:ascii="Times New Roman" w:hAnsi="Times New Roman" w:cs="Times New Roman"/>
          <w:color w:val="000000" w:themeColor="text1"/>
        </w:rPr>
        <w:t>area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under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curve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) использовался пакет </w:t>
      </w:r>
      <w:proofErr w:type="spellStart"/>
      <w:r w:rsidRPr="00B552B5">
        <w:rPr>
          <w:rFonts w:ascii="Times New Roman" w:hAnsi="Times New Roman" w:cs="Times New Roman"/>
          <w:color w:val="000000" w:themeColor="text1"/>
        </w:rPr>
        <w:t>pROC</w:t>
      </w:r>
      <w:proofErr w:type="spellEnd"/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B552B5">
        <w:rPr>
          <w:rFonts w:ascii="Times New Roman" w:hAnsi="Times New Roman" w:cs="Times New Roman"/>
          <w:color w:val="000000" w:themeColor="text1"/>
        </w:rPr>
        <w:t>version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 xml:space="preserve"> 1.18.4 с функцией </w:t>
      </w:r>
      <w:proofErr w:type="gramStart"/>
      <w:r w:rsidRPr="00B552B5">
        <w:rPr>
          <w:rFonts w:ascii="Times New Roman" w:hAnsi="Times New Roman" w:cs="Times New Roman"/>
          <w:color w:val="000000" w:themeColor="text1"/>
        </w:rPr>
        <w:t>roc</w:t>
      </w:r>
      <w:r w:rsidRPr="00B552B5">
        <w:rPr>
          <w:rFonts w:ascii="Times New Roman" w:hAnsi="Times New Roman" w:cs="Times New Roman"/>
          <w:color w:val="000000" w:themeColor="text1"/>
          <w:lang w:val="ru-RU"/>
        </w:rPr>
        <w:t>(</w:t>
      </w:r>
      <w:proofErr w:type="gramEnd"/>
      <w:r w:rsidRPr="00B552B5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:rsidR="006346D3" w:rsidRPr="00B552B5" w:rsidRDefault="00000000" w:rsidP="00B552B5">
      <w:pPr>
        <w:pStyle w:val="2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5" w:name="список-литературы"/>
      <w:bookmarkEnd w:id="14"/>
      <w:r w:rsidRPr="00B552B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2.7 </w:t>
      </w:r>
      <w:proofErr w:type="spellStart"/>
      <w:r w:rsidRPr="00B552B5">
        <w:rPr>
          <w:rFonts w:ascii="Times New Roman" w:hAnsi="Times New Roman" w:cs="Times New Roman"/>
          <w:color w:val="000000" w:themeColor="text1"/>
          <w:sz w:val="24"/>
          <w:szCs w:val="24"/>
        </w:rPr>
        <w:t>Список</w:t>
      </w:r>
      <w:proofErr w:type="spellEnd"/>
      <w:r w:rsidRPr="00B552B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552B5">
        <w:rPr>
          <w:rFonts w:ascii="Times New Roman" w:hAnsi="Times New Roman" w:cs="Times New Roman"/>
          <w:color w:val="000000" w:themeColor="text1"/>
          <w:sz w:val="24"/>
          <w:szCs w:val="24"/>
        </w:rPr>
        <w:t>литературы</w:t>
      </w:r>
      <w:proofErr w:type="spellEnd"/>
    </w:p>
    <w:p w:rsidR="006346D3" w:rsidRPr="00B552B5" w:rsidRDefault="00000000" w:rsidP="00B552B5">
      <w:pPr>
        <w:pStyle w:val="a7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16" w:name="ref-mandelson2000breast"/>
      <w:bookmarkStart w:id="17" w:name="refs"/>
      <w:r w:rsidRPr="00B552B5">
        <w:rPr>
          <w:rFonts w:ascii="Times New Roman" w:hAnsi="Times New Roman" w:cs="Times New Roman"/>
          <w:color w:val="000000" w:themeColor="text1"/>
        </w:rPr>
        <w:t xml:space="preserve">Mandelson, Margaret T, Nina Oestreicher, Peggy L Porter, Donna White, Charles A Finder, Stephen H Taplin, and Emily White. 2000. “Breast Density as a Predictor of Mammographic Detection: Comparison of Interval-and Screen-Detected Cancers.” </w:t>
      </w:r>
      <w:r w:rsidRPr="00B552B5">
        <w:rPr>
          <w:rFonts w:ascii="Times New Roman" w:hAnsi="Times New Roman" w:cs="Times New Roman"/>
          <w:i/>
          <w:iCs/>
          <w:color w:val="000000" w:themeColor="text1"/>
        </w:rPr>
        <w:t>Journal of the National Cancer Institute</w:t>
      </w:r>
      <w:r w:rsidRPr="00B552B5">
        <w:rPr>
          <w:rFonts w:ascii="Times New Roman" w:hAnsi="Times New Roman" w:cs="Times New Roman"/>
          <w:color w:val="000000" w:themeColor="text1"/>
        </w:rPr>
        <w:t xml:space="preserve"> 92 (13): 1081–87.</w:t>
      </w:r>
    </w:p>
    <w:p w:rsidR="006346D3" w:rsidRPr="00B552B5" w:rsidRDefault="00000000" w:rsidP="00B552B5">
      <w:pPr>
        <w:pStyle w:val="a7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18" w:name="ref-narayan2020"/>
      <w:bookmarkEnd w:id="16"/>
      <w:r w:rsidRPr="00B552B5">
        <w:rPr>
          <w:rFonts w:ascii="Times New Roman" w:hAnsi="Times New Roman" w:cs="Times New Roman"/>
          <w:color w:val="000000" w:themeColor="text1"/>
        </w:rPr>
        <w:t xml:space="preserve">Narayan, Anand K., Christoph I. Lee, and Constance D. Lehman. 2020. “Screening for Breast Cancer.” </w:t>
      </w:r>
      <w:r w:rsidRPr="00B552B5">
        <w:rPr>
          <w:rFonts w:ascii="Times New Roman" w:hAnsi="Times New Roman" w:cs="Times New Roman"/>
          <w:i/>
          <w:iCs/>
          <w:color w:val="000000" w:themeColor="text1"/>
        </w:rPr>
        <w:t>Medical Clinics of North America</w:t>
      </w:r>
      <w:r w:rsidRPr="00B552B5">
        <w:rPr>
          <w:rFonts w:ascii="Times New Roman" w:hAnsi="Times New Roman" w:cs="Times New Roman"/>
          <w:color w:val="000000" w:themeColor="text1"/>
        </w:rPr>
        <w:t xml:space="preserve"> 104 (6): 1007–21. </w:t>
      </w:r>
      <w:hyperlink r:id="rId32">
        <w:r w:rsidRPr="00B552B5">
          <w:rPr>
            <w:rStyle w:val="ad"/>
            <w:rFonts w:ascii="Times New Roman" w:hAnsi="Times New Roman" w:cs="Times New Roman"/>
            <w:color w:val="000000" w:themeColor="text1"/>
          </w:rPr>
          <w:t>https://doi.org/10.1016/j.mcna.2020.08.003</w:t>
        </w:r>
      </w:hyperlink>
      <w:r w:rsidRPr="00B552B5">
        <w:rPr>
          <w:rFonts w:ascii="Times New Roman" w:hAnsi="Times New Roman" w:cs="Times New Roman"/>
          <w:color w:val="000000" w:themeColor="text1"/>
        </w:rPr>
        <w:t>.</w:t>
      </w:r>
    </w:p>
    <w:p w:rsidR="006346D3" w:rsidRPr="00B552B5" w:rsidRDefault="00000000" w:rsidP="00B552B5">
      <w:pPr>
        <w:pStyle w:val="a7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19" w:name="ref-spak2017"/>
      <w:bookmarkEnd w:id="18"/>
      <w:r w:rsidRPr="00B552B5">
        <w:rPr>
          <w:rFonts w:ascii="Times New Roman" w:hAnsi="Times New Roman" w:cs="Times New Roman"/>
          <w:color w:val="000000" w:themeColor="text1"/>
        </w:rPr>
        <w:t xml:space="preserve">Spak, D. A., J. S. Plaxco, L. Santiago, M. J. Dryden, and B. E. Dogan. 2017. “BI-RADS ® Fifth Edition: A Summary of Changes.” </w:t>
      </w:r>
      <w:r w:rsidRPr="00B552B5">
        <w:rPr>
          <w:rFonts w:ascii="Times New Roman" w:hAnsi="Times New Roman" w:cs="Times New Roman"/>
          <w:i/>
          <w:iCs/>
          <w:color w:val="000000" w:themeColor="text1"/>
        </w:rPr>
        <w:t>Diagnostic and Interventional Imaging</w:t>
      </w:r>
      <w:r w:rsidRPr="00B552B5">
        <w:rPr>
          <w:rFonts w:ascii="Times New Roman" w:hAnsi="Times New Roman" w:cs="Times New Roman"/>
          <w:color w:val="000000" w:themeColor="text1"/>
        </w:rPr>
        <w:t xml:space="preserve"> 98 (3): 179–90. </w:t>
      </w:r>
      <w:hyperlink r:id="rId33">
        <w:r w:rsidRPr="00B552B5">
          <w:rPr>
            <w:rStyle w:val="ad"/>
            <w:rFonts w:ascii="Times New Roman" w:hAnsi="Times New Roman" w:cs="Times New Roman"/>
            <w:color w:val="000000" w:themeColor="text1"/>
          </w:rPr>
          <w:t>https://doi.org/10.1016/j.diii.2017.01.001</w:t>
        </w:r>
      </w:hyperlink>
      <w:r w:rsidRPr="00B552B5">
        <w:rPr>
          <w:rFonts w:ascii="Times New Roman" w:hAnsi="Times New Roman" w:cs="Times New Roman"/>
          <w:color w:val="000000" w:themeColor="text1"/>
        </w:rPr>
        <w:t>.</w:t>
      </w:r>
    </w:p>
    <w:p w:rsidR="006346D3" w:rsidRPr="00B552B5" w:rsidRDefault="00000000" w:rsidP="00B552B5">
      <w:pPr>
        <w:pStyle w:val="a7"/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bookmarkStart w:id="20" w:name="ref-xin2021"/>
      <w:bookmarkEnd w:id="19"/>
      <w:r w:rsidRPr="00B552B5">
        <w:rPr>
          <w:rFonts w:ascii="Times New Roman" w:hAnsi="Times New Roman" w:cs="Times New Roman"/>
          <w:color w:val="000000" w:themeColor="text1"/>
        </w:rPr>
        <w:lastRenderedPageBreak/>
        <w:t xml:space="preserve">Xin, Yujing, Xinyuan Zhang, Yi Yang, Yi Chen, Yanan Wang, Xiang Zhou, and Youlin Qiao. 2021. “A Multicenter, Hospital-Based and Non-Inferiority Study for Diagnostic Efficacy of Automated Whole Breast Ultrasound for Breast Cancer in China.” </w:t>
      </w:r>
      <w:r w:rsidRPr="00B552B5">
        <w:rPr>
          <w:rFonts w:ascii="Times New Roman" w:hAnsi="Times New Roman" w:cs="Times New Roman"/>
          <w:i/>
          <w:iCs/>
          <w:color w:val="000000" w:themeColor="text1"/>
        </w:rPr>
        <w:t>Scientific Reports</w:t>
      </w:r>
      <w:r w:rsidRPr="00B552B5">
        <w:rPr>
          <w:rFonts w:ascii="Times New Roman" w:hAnsi="Times New Roman" w:cs="Times New Roman"/>
          <w:color w:val="000000" w:themeColor="text1"/>
        </w:rPr>
        <w:t xml:space="preserve"> 11 (1). </w:t>
      </w:r>
      <w:hyperlink r:id="rId34">
        <w:r w:rsidRPr="00B552B5">
          <w:rPr>
            <w:rStyle w:val="ad"/>
            <w:rFonts w:ascii="Times New Roman" w:hAnsi="Times New Roman" w:cs="Times New Roman"/>
            <w:color w:val="000000" w:themeColor="text1"/>
          </w:rPr>
          <w:t>https://doi.org/10.1038/s41598-021-93350-1</w:t>
        </w:r>
      </w:hyperlink>
      <w:r w:rsidRPr="00B552B5">
        <w:rPr>
          <w:rFonts w:ascii="Times New Roman" w:hAnsi="Times New Roman" w:cs="Times New Roman"/>
          <w:color w:val="000000" w:themeColor="text1"/>
        </w:rPr>
        <w:t>.</w:t>
      </w:r>
      <w:bookmarkEnd w:id="0"/>
      <w:bookmarkEnd w:id="15"/>
      <w:bookmarkEnd w:id="17"/>
      <w:bookmarkEnd w:id="20"/>
    </w:p>
    <w:sectPr w:rsidR="006346D3" w:rsidRPr="00B552B5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D2E8B" w:rsidRDefault="00BD2E8B">
      <w:pPr>
        <w:spacing w:after="0"/>
      </w:pPr>
      <w:r>
        <w:separator/>
      </w:r>
    </w:p>
  </w:endnote>
  <w:endnote w:type="continuationSeparator" w:id="0">
    <w:p w:rsidR="00BD2E8B" w:rsidRDefault="00BD2E8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D2E8B" w:rsidRDefault="00BD2E8B">
      <w:r>
        <w:separator/>
      </w:r>
    </w:p>
  </w:footnote>
  <w:footnote w:type="continuationSeparator" w:id="0">
    <w:p w:rsidR="00BD2E8B" w:rsidRDefault="00BD2E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85226A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058211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346D3"/>
    <w:rsid w:val="00451F9B"/>
    <w:rsid w:val="00457C2B"/>
    <w:rsid w:val="006346D3"/>
    <w:rsid w:val="00810D00"/>
    <w:rsid w:val="00AD47A0"/>
    <w:rsid w:val="00B552B5"/>
    <w:rsid w:val="00BD2E8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63A5C"/>
  <w15:docId w15:val="{496196F5-5B3C-3741-BB3D-3D6B9E691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so"/><Relationship Id="rId18" Type="http://schemas.openxmlformats.org/officeDocument/2006/relationships/image" Target="media/image12.so"/><Relationship Id="rId26" Type="http://schemas.openxmlformats.org/officeDocument/2006/relationships/image" Target="media/image20.so"/><Relationship Id="rId3" Type="http://schemas.openxmlformats.org/officeDocument/2006/relationships/settings" Target="settings.xml"/><Relationship Id="rId21" Type="http://schemas.openxmlformats.org/officeDocument/2006/relationships/image" Target="media/image15.so"/><Relationship Id="rId34" Type="http://schemas.openxmlformats.org/officeDocument/2006/relationships/hyperlink" Target="https://doi.org/10.1038/s41598-021-93350-1" TargetMode="External"/><Relationship Id="rId7" Type="http://schemas.openxmlformats.org/officeDocument/2006/relationships/image" Target="media/image1.so"/><Relationship Id="rId12" Type="http://schemas.openxmlformats.org/officeDocument/2006/relationships/image" Target="media/image6.so"/><Relationship Id="rId17" Type="http://schemas.openxmlformats.org/officeDocument/2006/relationships/image" Target="media/image11.so"/><Relationship Id="rId25" Type="http://schemas.openxmlformats.org/officeDocument/2006/relationships/image" Target="media/image19.so"/><Relationship Id="rId33" Type="http://schemas.openxmlformats.org/officeDocument/2006/relationships/hyperlink" Target="https://doi.org/10.1016/j.diii.2017.01.001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so"/><Relationship Id="rId20" Type="http://schemas.openxmlformats.org/officeDocument/2006/relationships/image" Target="media/image14.so"/><Relationship Id="rId29" Type="http://schemas.openxmlformats.org/officeDocument/2006/relationships/image" Target="media/image23.so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so"/><Relationship Id="rId24" Type="http://schemas.openxmlformats.org/officeDocument/2006/relationships/image" Target="media/image18.so"/><Relationship Id="rId32" Type="http://schemas.openxmlformats.org/officeDocument/2006/relationships/hyperlink" Target="https://doi.org/10.1016/j.mcna.2020.08.003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so"/><Relationship Id="rId23" Type="http://schemas.openxmlformats.org/officeDocument/2006/relationships/image" Target="media/image17.so"/><Relationship Id="rId28" Type="http://schemas.openxmlformats.org/officeDocument/2006/relationships/image" Target="media/image22.so"/><Relationship Id="rId36" Type="http://schemas.openxmlformats.org/officeDocument/2006/relationships/theme" Target="theme/theme1.xml"/><Relationship Id="rId10" Type="http://schemas.openxmlformats.org/officeDocument/2006/relationships/image" Target="media/image4.so"/><Relationship Id="rId19" Type="http://schemas.openxmlformats.org/officeDocument/2006/relationships/image" Target="media/image13.so"/><Relationship Id="rId31" Type="http://schemas.openxmlformats.org/officeDocument/2006/relationships/image" Target="media/image25.so"/><Relationship Id="rId4" Type="http://schemas.openxmlformats.org/officeDocument/2006/relationships/webSettings" Target="webSettings.xml"/><Relationship Id="rId9" Type="http://schemas.openxmlformats.org/officeDocument/2006/relationships/image" Target="media/image3.so"/><Relationship Id="rId14" Type="http://schemas.openxmlformats.org/officeDocument/2006/relationships/image" Target="media/image8.so"/><Relationship Id="rId22" Type="http://schemas.openxmlformats.org/officeDocument/2006/relationships/image" Target="media/image16.so"/><Relationship Id="rId27" Type="http://schemas.openxmlformats.org/officeDocument/2006/relationships/image" Target="media/image21.so"/><Relationship Id="rId30" Type="http://schemas.openxmlformats.org/officeDocument/2006/relationships/image" Target="media/image24.so"/><Relationship Id="rId35" Type="http://schemas.openxmlformats.org/officeDocument/2006/relationships/fontTable" Target="fontTable.xml"/><Relationship Id="rId8" Type="http://schemas.openxmlformats.org/officeDocument/2006/relationships/image" Target="media/image2.so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38</Pages>
  <Words>8422</Words>
  <Characters>48011</Characters>
  <Application>Microsoft Office Word</Application>
  <DocSecurity>0</DocSecurity>
  <Lines>400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Chapter2</vt:lpstr>
    </vt:vector>
  </TitlesOfParts>
  <Company/>
  <LinksUpToDate>false</LinksUpToDate>
  <CharactersWithSpaces>56321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Chapter2</dc:title>
  <dc:creator>AndreyPovaliy</dc:creator>
  <cp:keywords/>
  <cp:lastModifiedBy>Andrey Povaliy</cp:lastModifiedBy>
  <cp:revision>3</cp:revision>
  <dcterms:created xsi:type="dcterms:W3CDTF">2023-10-27T11:45:00Z</dcterms:created>
  <dcterms:modified xsi:type="dcterms:W3CDTF">2023-10-27T12:22:00Z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date">
    <vt:lpwstr>2023-09-29</vt:lpwstr>
  </property>
  <property fmtid="{D5CDD505-2E9C-101B-9397-08002B2CF9AE}" pid="4" name="editor_options">
    <vt:lpwstr/>
  </property>
  <property fmtid="{D5CDD505-2E9C-101B-9397-08002B2CF9AE}" pid="5" name="output">
    <vt:lpwstr>word_document</vt:lpwstr>
  </property>
</Properties>
</file>