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Jun_Accur_3</w:t>
      </w:r>
    </w:p>
    <w:p>
      <w:pPr>
        <w:pStyle w:val="Author"/>
      </w:pPr>
      <w:r>
        <w:t xml:space="preserve">Andrey</w:t>
      </w:r>
      <w:r>
        <w:t xml:space="preserve"> </w:t>
      </w:r>
      <w:r>
        <w:t xml:space="preserve">Povaliy</w:t>
      </w:r>
    </w:p>
    <w:p>
      <w:pPr>
        <w:pStyle w:val="Date"/>
      </w:pPr>
      <w:r>
        <w:t xml:space="preserve">2023-09-04</w:t>
      </w:r>
    </w:p>
    <w:bookmarkStart w:id="34" w:name="X4ff783b4f5a03b09ea5a1c4b02360d5fe44aafe"/>
    <w:p>
      <w:pPr>
        <w:pStyle w:val="Heading1"/>
      </w:pPr>
      <w:r>
        <w:t xml:space="preserve">Диагностическая эффективность автоматизированного УЗИ всей молочной железы при раке молочной железы у пациенток до 40 лет.</w:t>
      </w:r>
    </w:p>
    <w:bookmarkStart w:id="20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Рак молочной железы является наиболее распространенным раком среди</w:t>
      </w:r>
      <w:r>
        <w:t xml:space="preserve"> </w:t>
      </w:r>
      <w:r>
        <w:t xml:space="preserve">женщин во всем мире</w:t>
      </w:r>
      <w:r>
        <w:t xml:space="preserve"> </w:t>
      </w:r>
      <w:r>
        <w:t xml:space="preserve">[1,2]</w:t>
      </w:r>
      <w:r>
        <w:t xml:space="preserve">. В Российской</w:t>
      </w:r>
      <w:r>
        <w:t xml:space="preserve"> </w:t>
      </w:r>
      <w:r>
        <w:t xml:space="preserve">Федерации ежегодно регистрируется более 70 тысяч новых случаев рака</w:t>
      </w:r>
      <w:r>
        <w:t xml:space="preserve"> </w:t>
      </w:r>
      <w:r>
        <w:t xml:space="preserve">молочной железы (70 208 в 2021 году), в том числе 495 случаев среди</w:t>
      </w:r>
      <w:r>
        <w:t xml:space="preserve"> </w:t>
      </w:r>
      <w:r>
        <w:t xml:space="preserve">мужского населения и ежегодно умирает более 20 тысяч пациенток с раком</w:t>
      </w:r>
      <w:r>
        <w:t xml:space="preserve"> </w:t>
      </w:r>
      <w:r>
        <w:t xml:space="preserve">молочной железы (20 620 в 2021 году), в том числе 140 мужчин</w:t>
      </w:r>
      <w:r>
        <w:t xml:space="preserve"> </w:t>
      </w:r>
      <w:r>
        <w:t xml:space="preserve">[3,4]</w:t>
      </w:r>
      <w:r>
        <w:t xml:space="preserve">. Женщины в</w:t>
      </w:r>
      <w:r>
        <w:t xml:space="preserve"> </w:t>
      </w:r>
      <w:r>
        <w:t xml:space="preserve">возрасте &lt;40 лет обычно имеют эквивалентный риск до или выше, чем у</w:t>
      </w:r>
      <w:r>
        <w:t xml:space="preserve"> </w:t>
      </w:r>
      <w:r>
        <w:t xml:space="preserve">женщины среднего риска в возрасте 40 лет. Раннее выявление снижает</w:t>
      </w:r>
      <w:r>
        <w:t xml:space="preserve"> </w:t>
      </w:r>
      <w:r>
        <w:t xml:space="preserve">смертность среди женщин с раком молочной железы</w:t>
      </w:r>
      <w:r>
        <w:t xml:space="preserve"> </w:t>
      </w:r>
      <w:r>
        <w:t xml:space="preserve">[5]</w:t>
      </w:r>
      <w:r>
        <w:t xml:space="preserve">.</w:t>
      </w:r>
    </w:p>
    <w:bookmarkEnd w:id="20"/>
    <w:bookmarkStart w:id="21" w:name="цель-исследования"/>
    <w:p>
      <w:pPr>
        <w:pStyle w:val="Heading2"/>
      </w:pPr>
      <w:r>
        <w:t xml:space="preserve">Цель исследования</w:t>
      </w:r>
    </w:p>
    <w:p>
      <w:pPr>
        <w:pStyle w:val="FirstParagraph"/>
      </w:pPr>
      <w:r>
        <w:t xml:space="preserve">Провести сравнительный анализ диагностической эффективности УЗИ в</w:t>
      </w:r>
      <w:r>
        <w:t xml:space="preserve"> </w:t>
      </w:r>
      <w:r>
        <w:t xml:space="preserve">B-режиме и автоматизированного объемного сканирования молочных желез</w:t>
      </w:r>
      <w:r>
        <w:t xml:space="preserve"> </w:t>
      </w:r>
      <w:r>
        <w:t xml:space="preserve">(ABUS), и комбинации этих методик у женщин в возрастной группе до 39 лет</w:t>
      </w:r>
      <w:r>
        <w:t xml:space="preserve"> </w:t>
      </w:r>
      <w:r>
        <w:t xml:space="preserve">с высокой плотностью тканей молочной железы.</w:t>
      </w:r>
    </w:p>
    <w:bookmarkEnd w:id="21"/>
    <w:bookmarkStart w:id="22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Было проведено ретро-проспективное наблюдательное исследование. С</w:t>
      </w:r>
      <w:r>
        <w:t xml:space="preserve"> </w:t>
      </w:r>
      <w:r>
        <w:t xml:space="preserve">февраля 2019 по май 2023 года было исследовано 1511 пациенток с</w:t>
      </w:r>
      <w:r>
        <w:t xml:space="preserve"> </w:t>
      </w:r>
      <w:r>
        <w:t xml:space="preserve">возрастом до 40 лет. Пациенки были разделены на две группы A и B. В</w:t>
      </w:r>
      <w:r>
        <w:t xml:space="preserve"> </w:t>
      </w:r>
      <w:r>
        <w:t xml:space="preserve">группу A вошло 724 пациенток и в это группе скрининг проводился с</w:t>
      </w:r>
      <w:r>
        <w:t xml:space="preserve"> </w:t>
      </w:r>
      <w:r>
        <w:t xml:space="preserve">использовонием не только 2d УЗИ, но и 3в УЗИ сканирования молочных желез</w:t>
      </w:r>
      <w:r>
        <w:t xml:space="preserve"> </w:t>
      </w:r>
      <w:r>
        <w:t xml:space="preserve">(исследуемая группа). В группу B вошло 787 пациенток и в этой группе</w:t>
      </w:r>
      <w:r>
        <w:t xml:space="preserve"> </w:t>
      </w:r>
      <w:r>
        <w:t xml:space="preserve">скрининг проводился только с 2d УЗИ (котнтрольная группа). По</w:t>
      </w:r>
      <w:r>
        <w:t xml:space="preserve"> </w:t>
      </w:r>
      <w:r>
        <w:t xml:space="preserve">результатам 2d УЗИ были выставлены категории BiRads. Для 1 и 2 категории</w:t>
      </w:r>
      <w:r>
        <w:t xml:space="preserve"> </w:t>
      </w:r>
      <w:r>
        <w:t xml:space="preserve">было рекомендовано дальнейшее наблюдение. При усановке категории BiRads</w:t>
      </w:r>
      <w:r>
        <w:t xml:space="preserve"> </w:t>
      </w:r>
      <w:r>
        <w:t xml:space="preserve">3 было рекомендовано проведение магнитно-резонансная томография с</w:t>
      </w:r>
      <w:r>
        <w:t xml:space="preserve"> </w:t>
      </w:r>
      <w:r>
        <w:t xml:space="preserve">контрастным усилением для уточнения. При категории BiRads 4 и BiRads 5</w:t>
      </w:r>
      <w:r>
        <w:t xml:space="preserve"> </w:t>
      </w:r>
      <w:r>
        <w:t xml:space="preserve">проводилась core биопсия или стереотаксическая биопсия или пункционная</w:t>
      </w:r>
      <w:r>
        <w:t xml:space="preserve"> </w:t>
      </w:r>
      <w:r>
        <w:t xml:space="preserve">биопсия. Проводилось определение чувствительности, спецефичности,</w:t>
      </w:r>
      <w:r>
        <w:t xml:space="preserve"> </w:t>
      </w:r>
      <w:r>
        <w:t xml:space="preserve">точности, положительной прогностической ценности и отрицательной</w:t>
      </w:r>
      <w:r>
        <w:t xml:space="preserve"> </w:t>
      </w:r>
      <w:r>
        <w:t xml:space="preserve">прогностической ценности.</w:t>
      </w:r>
    </w:p>
    <w:bookmarkEnd w:id="22"/>
    <w:bookmarkStart w:id="23" w:name="результаты-исследования"/>
    <w:p>
      <w:pPr>
        <w:pStyle w:val="Heading2"/>
      </w:pPr>
      <w:r>
        <w:t xml:space="preserve">Результаты исследования</w:t>
      </w:r>
    </w:p>
    <w:p>
      <w:pPr>
        <w:pStyle w:val="FirstParagraph"/>
      </w:pPr>
      <w:r>
        <w:t xml:space="preserve">По результатам выполнения УЗИ был поставлен дигноз злокачественного</w:t>
      </w:r>
      <w:r>
        <w:t xml:space="preserve"> </w:t>
      </w:r>
      <w:r>
        <w:t xml:space="preserve">образования в группе A в 1.91% (15), в группе B в 6.49% (47). При</w:t>
      </w:r>
      <w:r>
        <w:t xml:space="preserve"> </w:t>
      </w:r>
      <w:r>
        <w:t xml:space="preserve">выполнении ABUS был поставлен дигноз злокачественного образования в</w:t>
      </w:r>
      <w:r>
        <w:t xml:space="preserve"> </w:t>
      </w:r>
      <w:r>
        <w:t xml:space="preserve">группе A в 1.91% (15) в группе B в 6.49% (47). По результатам выполнения</w:t>
      </w:r>
      <w:r>
        <w:t xml:space="preserve"> </w:t>
      </w:r>
      <w:r>
        <w:t xml:space="preserve">гистологическкого исследования был поставлен дигноз злокачественного</w:t>
      </w:r>
      <w:r>
        <w:t xml:space="preserve"> </w:t>
      </w:r>
      <w:r>
        <w:t xml:space="preserve">образования в группе A в 1.91% (15), а в группе B в 6.49% (47). Метод</w:t>
      </w:r>
      <w:r>
        <w:t xml:space="preserve"> </w:t>
      </w:r>
      <w:r>
        <w:t xml:space="preserve">УЗИ в группе А показал чувствительность 0.8, специфичность 1,</w:t>
      </w:r>
      <w:r>
        <w:t xml:space="preserve"> </w:t>
      </w:r>
      <w:r>
        <w:t xml:space="preserve">отбалансированную точность 0.9 и площадь под кривой предсказательной</w:t>
      </w:r>
      <w:r>
        <w:t xml:space="preserve"> </w:t>
      </w:r>
      <w:r>
        <w:t xml:space="preserve">модели 0.947, УЗИ в группе B 0.89, 0.98, 0.94 и 0.903 соответственно,</w:t>
      </w:r>
      <w:r>
        <w:t xml:space="preserve"> </w:t>
      </w:r>
      <w:r>
        <w:t xml:space="preserve">УЗИ по всей выборке 0.87, 0.99, 0.93 и 0.916 соответственно. Метод ABUS</w:t>
      </w:r>
      <w:r>
        <w:t xml:space="preserve"> </w:t>
      </w:r>
      <w:r>
        <w:t xml:space="preserve">в группе B показал чувствительность 0.95, специфичность 0.99 и</w:t>
      </w:r>
      <w:r>
        <w:t xml:space="preserve"> </w:t>
      </w:r>
      <w:r>
        <w:t xml:space="preserve">отбалансированную точность 0.97 и площадь под кривой предсказательной</w:t>
      </w:r>
      <w:r>
        <w:t xml:space="preserve"> </w:t>
      </w:r>
      <w:r>
        <w:t xml:space="preserve">модели 0.968.</w:t>
      </w:r>
    </w:p>
    <w:bookmarkEnd w:id="23"/>
    <w:bookmarkStart w:id="2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Согласно проведенному нами исследованию диагностическая эффективность</w:t>
      </w:r>
      <w:r>
        <w:t xml:space="preserve"> </w:t>
      </w:r>
      <w:r>
        <w:t xml:space="preserve">автоматизированного УЗИ всей молочной железы при раке молочной железы у</w:t>
      </w:r>
      <w:r>
        <w:t xml:space="preserve"> </w:t>
      </w:r>
      <w:r>
        <w:t xml:space="preserve">пациенток до 40 лет достоверно не хуже проведения классического УЗИ</w:t>
      </w:r>
      <w:r>
        <w:t xml:space="preserve"> </w:t>
      </w:r>
      <w:r>
        <w:t xml:space="preserve">исследования.</w:t>
      </w:r>
    </w:p>
    <w:bookmarkEnd w:id="24"/>
    <w:bookmarkStart w:id="33" w:name="список-литературы"/>
    <w:p>
      <w:pPr>
        <w:pStyle w:val="Heading2"/>
      </w:pPr>
      <w:r>
        <w:t xml:space="preserve">Список литературы</w:t>
      </w:r>
    </w:p>
    <w:bookmarkStart w:id="32" w:name="refs"/>
    <w:bookmarkStart w:id="26" w:name="ref-shapira201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Shapira N. The potential contribution of dietary factors to breast cancer prevention.</w:t>
      </w:r>
      <w:r>
        <w:t xml:space="preserve"> </w:t>
      </w:r>
      <w:r>
        <w:rPr>
          <w:iCs/>
          <w:i/>
        </w:rPr>
        <w:t xml:space="preserve">European Journal of Cancer Prevention</w:t>
      </w:r>
      <w:r>
        <w:t xml:space="preserve">. 2017;26(5):385-395. doi:</w:t>
      </w:r>
      <w:hyperlink r:id="rId25">
        <w:r>
          <w:rPr>
            <w:rStyle w:val="Hyperlink"/>
          </w:rPr>
          <w:t xml:space="preserve">10.1097/cej.0000000000000406</w:t>
        </w:r>
      </w:hyperlink>
    </w:p>
    <w:bookmarkEnd w:id="26"/>
    <w:bookmarkStart w:id="27" w:name="ref-kocarnik2022cancer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Kocarnik JM, Compton K, Dean FE, et al. Cancer incidence, mortality, years of life lost, years lived with disability, and disability-adjusted life years for 29 cancer groups from 2010 to 2019: A systematic analysis for the global burden of disease study 2019.</w:t>
      </w:r>
      <w:r>
        <w:t xml:space="preserve"> </w:t>
      </w:r>
      <w:r>
        <w:rPr>
          <w:iCs/>
          <w:i/>
        </w:rPr>
        <w:t xml:space="preserve">JAMA oncology</w:t>
      </w:r>
      <w:r>
        <w:t xml:space="preserve">. 2022;8(3):420-444.</w:t>
      </w:r>
    </w:p>
    <w:bookmarkEnd w:id="27"/>
    <w:bookmarkStart w:id="28" w:name="ref-мерабишвили2022состояние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Мерабишвили ВМ. Состояние онкологической помощи в россии: Рак молочной железы среди мужского населения, распространенность и выживаемость больных (популяционное исследование на уровне федерального округа).</w:t>
      </w:r>
      <w:r>
        <w:t xml:space="preserve"> </w:t>
      </w:r>
      <w:r>
        <w:rPr>
          <w:iCs/>
          <w:i/>
        </w:rPr>
        <w:t xml:space="preserve">Вопросы онкологии</w:t>
      </w:r>
      <w:r>
        <w:t xml:space="preserve">. 2022;68(3):303-312.</w:t>
      </w:r>
    </w:p>
    <w:bookmarkEnd w:id="28"/>
    <w:bookmarkStart w:id="29" w:name="ref-мерабишвили2023состояние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Мерабишвили В, Семиглазов В, Комяхов А, Семиглазова Т, Криворотько П, Беляев А. Состояние онкологической помощи в россии: Рак молочной железы. Эпидемиология и выживаемость больных. Влияние эпидемии бета-варианта коронавируса SARS-CoV-2 (клинико-популяционное исследование).</w:t>
      </w:r>
      <w:r>
        <w:t xml:space="preserve"> </w:t>
      </w:r>
      <w:r>
        <w:rPr>
          <w:iCs/>
          <w:i/>
        </w:rPr>
        <w:t xml:space="preserve">Опухоли женской репродуктивной системы</w:t>
      </w:r>
      <w:r>
        <w:t xml:space="preserve">. 2023;19(3):16-24.</w:t>
      </w:r>
    </w:p>
    <w:bookmarkEnd w:id="29"/>
    <w:bookmarkStart w:id="31" w:name="ref-monticciolo2018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Monticciolo DL, Newell MS, Moy L, Niell B, Monsees B, Sickles EA. Breast Cancer Screening in Women at Higher-Than-Average Risk: Recommendations From the ACR.</w:t>
      </w:r>
      <w:r>
        <w:t xml:space="preserve"> </w:t>
      </w:r>
      <w:r>
        <w:rPr>
          <w:iCs/>
          <w:i/>
        </w:rPr>
        <w:t xml:space="preserve">Journal of the American College of Radiology</w:t>
      </w:r>
      <w:r>
        <w:t xml:space="preserve">. 2018;15(3):408-414. doi:</w:t>
      </w:r>
      <w:hyperlink r:id="rId30">
        <w:r>
          <w:rPr>
            <w:rStyle w:val="Hyperlink"/>
          </w:rPr>
          <w:t xml:space="preserve">10.1016/j.jacr.2017.11.034</w:t>
        </w:r>
      </w:hyperlink>
    </w:p>
    <w:bookmarkEnd w:id="31"/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doi.org/10.1016/j.jacr.2017.11.034" TargetMode="External" /><Relationship Type="http://schemas.openxmlformats.org/officeDocument/2006/relationships/hyperlink" Id="rId25" Target="https://doi.org/10.1097/cej.00000000000004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16/j.jacr.2017.11.034" TargetMode="External" /><Relationship Type="http://schemas.openxmlformats.org/officeDocument/2006/relationships/hyperlink" Id="rId25" Target="https://doi.org/10.1097/cej.00000000000004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Jun_Accur_3</dc:title>
  <dc:creator>Andrey Povaliy</dc:creator>
  <cp:keywords/>
  <dcterms:created xsi:type="dcterms:W3CDTF">2024-01-30T10:16:40Z</dcterms:created>
  <dcterms:modified xsi:type="dcterms:W3CDTF">2024-01-30T10:16:40Z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references1.bib</vt:lpwstr>
  </property>
  <property fmtid="{D5CDD505-2E9C-101B-9397-08002B2CF9AE}" pid="3" name="csl">
    <vt:lpwstr>american-medical-association-brackets.csl</vt:lpwstr>
  </property>
  <property fmtid="{D5CDD505-2E9C-101B-9397-08002B2CF9AE}" pid="4" name="date">
    <vt:lpwstr>2023-09-04</vt:lpwstr>
  </property>
  <property fmtid="{D5CDD505-2E9C-101B-9397-08002B2CF9AE}" pid="5" name="editor_options">
    <vt:lpwstr/>
  </property>
  <property fmtid="{D5CDD505-2E9C-101B-9397-08002B2CF9AE}" pid="6" name="output">
    <vt:lpwstr>word_document</vt:lpwstr>
  </property>
</Properties>
</file>