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Snr_Accur_4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2023-11-24</w:t>
      </w:r>
    </w:p>
    <w:p>
      <w:pPr>
        <w:pStyle w:val="FirstParagraph"/>
      </w:pPr>
      <w:r>
        <w:t xml:space="preserve">УДК 616-006.04</w:t>
      </w:r>
    </w:p>
    <w:bookmarkStart w:id="37" w:name="X185e08fb3033e889fd6082b7ecd17c3e560ad80"/>
    <w:p>
      <w:pPr>
        <w:pStyle w:val="Heading1"/>
      </w:pPr>
      <w:r>
        <w:t xml:space="preserve">Эффективность автоматизированного 3D-УЗИ молочной железы у женщин 40 лет и старше с неоднородной и плотной грудью</w:t>
      </w:r>
    </w:p>
    <w:p>
      <w:pPr>
        <w:pStyle w:val="FirstParagraph"/>
      </w:pPr>
      <w:r>
        <w:t xml:space="preserve">Гаранина А.Э., Холин А.В.</w:t>
      </w:r>
    </w:p>
    <w:p>
      <w:pPr>
        <w:pStyle w:val="BodyText"/>
      </w:pPr>
      <w:r>
        <w:t xml:space="preserve">Северо-Западный государственный Медицинский университет им. И. И.</w:t>
      </w:r>
      <w:r>
        <w:t xml:space="preserve"> </w:t>
      </w:r>
      <w:r>
        <w:t xml:space="preserve">Мечникова, Россия, Санкт-Петербург, 191015, Российская Федерация, г.</w:t>
      </w:r>
      <w:r>
        <w:t xml:space="preserve"> </w:t>
      </w:r>
      <w:r>
        <w:t xml:space="preserve">Санкт-Петербург, ул. Кирочная, д. 41</w:t>
      </w:r>
    </w:p>
    <w:p>
      <w:pPr>
        <w:pStyle w:val="BodyText"/>
      </w:pPr>
      <w:r>
        <w:t xml:space="preserve">Контакты: Гаранина Анна Эдуардовна,</w:t>
      </w:r>
      <w:r>
        <w:t xml:space="preserve"> </w:t>
      </w:r>
      <w:hyperlink r:id="rId20">
        <w:r>
          <w:rPr>
            <w:rStyle w:val="Hyperlink"/>
          </w:rPr>
          <w:t xml:space="preserve">anna.garanina.90@mail.ru</w:t>
        </w:r>
      </w:hyperlink>
    </w:p>
    <w:bookmarkStart w:id="21" w:name="резюме"/>
    <w:p>
      <w:pPr>
        <w:pStyle w:val="Heading2"/>
      </w:pPr>
      <w:r>
        <w:t xml:space="preserve">Резюме</w:t>
      </w:r>
    </w:p>
    <w:bookmarkEnd w:id="21"/>
    <w:bookmarkStart w:id="2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Рак молочной железы (РМЖ) относится к серьезной глобальной проблеме</w:t>
      </w:r>
      <w:r>
        <w:t xml:space="preserve"> </w:t>
      </w:r>
      <w:r>
        <w:t xml:space="preserve">здравоохранения: это наиболее часто диагностируемый вид рака в мире</w:t>
      </w:r>
      <w:r>
        <w:t xml:space="preserve"> </w:t>
      </w:r>
      <w:r>
        <w:t xml:space="preserve">[1]</w:t>
      </w:r>
      <w:r>
        <w:t xml:space="preserve">. В структуре раннего скрининга молочной железы</w:t>
      </w:r>
      <w:r>
        <w:t xml:space="preserve"> </w:t>
      </w:r>
      <w:r>
        <w:t xml:space="preserve">имеет важное значение проблематика плотности молочной железы</w:t>
      </w:r>
      <w:r>
        <w:t xml:space="preserve"> </w:t>
      </w:r>
      <w:r>
        <w:t xml:space="preserve">[2,3]</w:t>
      </w:r>
      <w:r>
        <w:t xml:space="preserve">.</w:t>
      </w:r>
      <w:r>
        <w:t xml:space="preserve"> </w:t>
      </w:r>
      <w:r>
        <w:t xml:space="preserve">Новая технология 3D ABUS позволяет получать большие трехмерные объемы,</w:t>
      </w:r>
      <w:r>
        <w:t xml:space="preserve"> </w:t>
      </w:r>
      <w:r>
        <w:t xml:space="preserve">и имеет преимущества для организации скрининга РМЖ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Исследование технологии 3D ABUS является перспективным направлением</w:t>
      </w:r>
      <w:r>
        <w:t xml:space="preserve"> </w:t>
      </w:r>
      <w:r>
        <w:t xml:space="preserve">улучшения алгоритмов и подходов при скрининге молочной железы.</w:t>
      </w:r>
    </w:p>
    <w:bookmarkEnd w:id="22"/>
    <w:bookmarkStart w:id="23" w:name="цель-исследования"/>
    <w:p>
      <w:pPr>
        <w:pStyle w:val="Heading2"/>
      </w:pPr>
      <w:r>
        <w:t xml:space="preserve">Цель исследования</w:t>
      </w:r>
    </w:p>
    <w:p>
      <w:pPr>
        <w:pStyle w:val="FirstParagraph"/>
      </w:pPr>
      <w:r>
        <w:t xml:space="preserve">Провести сравнительный анализ диагностической эффективности, именно</w:t>
      </w:r>
      <w:r>
        <w:t xml:space="preserve"> </w:t>
      </w:r>
      <w:r>
        <w:t xml:space="preserve">чувствительности, специфичности и точности УЗИ в B-режиме,</w:t>
      </w:r>
      <w:r>
        <w:t xml:space="preserve"> </w:t>
      </w:r>
      <w:r>
        <w:t xml:space="preserve">автоматизированного объемного сканирования молочных желез (ABUS), и</w:t>
      </w:r>
      <w:r>
        <w:t xml:space="preserve"> </w:t>
      </w:r>
      <w:r>
        <w:t xml:space="preserve">маммографического скрининга у женщин в возрастной группе 40 лет и старше</w:t>
      </w:r>
      <w:r>
        <w:t xml:space="preserve"> </w:t>
      </w:r>
      <w:r>
        <w:t xml:space="preserve">лет с неоднородной и высокой плотностью тканей молочной железы.</w:t>
      </w:r>
    </w:p>
    <w:bookmarkEnd w:id="23"/>
    <w:bookmarkStart w:id="24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С февраля 2019 по май 2023 года проводилось ретро-проспективное</w:t>
      </w:r>
      <w:r>
        <w:t xml:space="preserve"> </w:t>
      </w:r>
      <w:r>
        <w:t xml:space="preserve">наблюдательное исследование, в котором рассматривались диагностические</w:t>
      </w:r>
      <w:r>
        <w:t xml:space="preserve"> </w:t>
      </w:r>
      <w:r>
        <w:t xml:space="preserve">аспекты раннней диагностики рака молочной железы с реди женщин в</w:t>
      </w:r>
      <w:r>
        <w:t xml:space="preserve"> </w:t>
      </w:r>
      <w:r>
        <w:t xml:space="preserve">возрасте 40 лет и старше.Всего в исследование вошло 1283 пациентов.</w:t>
      </w:r>
      <w:r>
        <w:br/>
      </w:r>
      <w:r>
        <w:t xml:space="preserve">В группу A вошло 628 пациенток, в то время как в группу B 655 пациентов.</w:t>
      </w:r>
      <w:r>
        <w:t xml:space="preserve"> </w:t>
      </w:r>
      <w:r>
        <w:t xml:space="preserve">Пациентки попавшие в группу B проходили 2D-УЗИ с определением категории BiRads и 3D-УЗИ. Пациентки попавшие в группу B проходили только 2D-УЗИ. Все пациентки проходили диагностическую маммографию.</w:t>
      </w:r>
      <w:r>
        <w:t xml:space="preserve"> </w:t>
      </w:r>
      <w:r>
        <w:t xml:space="preserve">Проводилось определение чувствительности, спецефичности, точности, положительной прогностической ценности и отрицательной прогностической ценности</w:t>
      </w:r>
    </w:p>
    <w:bookmarkEnd w:id="24"/>
    <w:bookmarkStart w:id="25" w:name="результаты-исследования"/>
    <w:p>
      <w:pPr>
        <w:pStyle w:val="Heading2"/>
      </w:pPr>
      <w:r>
        <w:t xml:space="preserve">Результаты исследования</w:t>
      </w:r>
    </w:p>
    <w:p>
      <w:pPr>
        <w:pStyle w:val="FirstParagraph"/>
      </w:pPr>
      <w:r>
        <w:t xml:space="preserve">По результатам выполнения УЗИ был поставлен дигноз злокачественного</w:t>
      </w:r>
      <w:r>
        <w:t xml:space="preserve"> </w:t>
      </w:r>
      <w:r>
        <w:t xml:space="preserve">образования в группе A в 7.64% (48), а в группе B в 22.29% (146)</w:t>
      </w:r>
      <w:r>
        <w:t xml:space="preserve"> </w:t>
      </w:r>
      <w:r>
        <w:t xml:space="preserve">По результатам выполнения гистологическкого исследования был поставлен</w:t>
      </w:r>
      <w:r>
        <w:t xml:space="preserve"> </w:t>
      </w:r>
      <w:r>
        <w:t xml:space="preserve">дигноз злокачественного образования в группе A в 7.64% (48) и и в группе</w:t>
      </w:r>
      <w:r>
        <w:t xml:space="preserve"> </w:t>
      </w:r>
      <w:r>
        <w:t xml:space="preserve">B в 22.29% (146).</w:t>
      </w:r>
      <w:r>
        <w:t xml:space="preserve"> </w:t>
      </w:r>
      <w:r>
        <w:t xml:space="preserve">Метод ММГ показал ППЦ 0.89, ОПЦ 0.93, чувствительность 0.53, специфичность 0.99, отбалансированную точность 0.76. Метод 2D-УЗИ показал ППЦ 0.8, ОПЦ 0.98, чувствительность 0.9, специфичность 0.97, отбалансированную точность 0.93 и площадь под кривой предсказательной модели 0.968. 3D-УЗИ показал ППЦ 0.97, ОПЦ 0.97, чувствительность 0.9, специфичность 0.99, отбалансированную точность 0.94 и площадь под кривой предсказательной модели 0.98.</w:t>
      </w:r>
    </w:p>
    <w:bookmarkEnd w:id="25"/>
    <w:bookmarkStart w:id="2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По результатам нашего исследования диагностическая эффективность, а</w:t>
      </w:r>
      <w:r>
        <w:t xml:space="preserve"> </w:t>
      </w:r>
      <w:r>
        <w:t xml:space="preserve">именно чувствительности, специфичности и точности автоматизированного</w:t>
      </w:r>
      <w:r>
        <w:t xml:space="preserve"> </w:t>
      </w:r>
      <w:r>
        <w:t xml:space="preserve">объемного сканирования молочных желез (ABUS) не хуже УЗИ в B-режиме и</w:t>
      </w:r>
      <w:r>
        <w:t xml:space="preserve"> </w:t>
      </w:r>
      <w:r>
        <w:t xml:space="preserve">маммографического скрининга у женщин возрастной группы 40 лет и старше.</w:t>
      </w:r>
      <w:r>
        <w:t xml:space="preserve"> </w:t>
      </w:r>
      <w:r>
        <w:t xml:space="preserve">3D-ABUS представляется многообещающим дополнительным методом к</w:t>
      </w:r>
      <w:r>
        <w:t xml:space="preserve"> </w:t>
      </w:r>
      <w:r>
        <w:t xml:space="preserve">программам скрининга.</w:t>
      </w:r>
    </w:p>
    <w:bookmarkEnd w:id="26"/>
    <w:bookmarkStart w:id="36" w:name="список-литературы"/>
    <w:p>
      <w:pPr>
        <w:pStyle w:val="Heading2"/>
      </w:pPr>
      <w:r>
        <w:t xml:space="preserve">Список литературы</w:t>
      </w:r>
    </w:p>
    <w:bookmarkStart w:id="35" w:name="refs"/>
    <w:bookmarkStart w:id="28" w:name="ref-wilkinson202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Wilkinson L, Gathani T. Understanding breast cancer as a global health concern.</w:t>
      </w:r>
      <w:r>
        <w:t xml:space="preserve"> </w:t>
      </w:r>
      <w:r>
        <w:rPr>
          <w:iCs/>
          <w:i/>
        </w:rPr>
        <w:t xml:space="preserve">The British Journal of Radiology</w:t>
      </w:r>
      <w:r>
        <w:t xml:space="preserve">. 2022;95(1130). doi:</w:t>
      </w:r>
      <w:hyperlink r:id="rId27">
        <w:r>
          <w:rPr>
            <w:rStyle w:val="Hyperlink"/>
          </w:rPr>
          <w:t xml:space="preserve">10.1259/bjr.20211033</w:t>
        </w:r>
      </w:hyperlink>
    </w:p>
    <w:bookmarkEnd w:id="28"/>
    <w:bookmarkStart w:id="30" w:name="ref-boyd201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Boyd NF. Mammographic Density and Risk of Breast Cancer.</w:t>
      </w:r>
      <w:r>
        <w:t xml:space="preserve"> </w:t>
      </w:r>
      <w:r>
        <w:rPr>
          <w:iCs/>
          <w:i/>
        </w:rPr>
        <w:t xml:space="preserve">American Society of Clinical Oncology Educational Book</w:t>
      </w:r>
      <w:r>
        <w:t xml:space="preserve">. 2013;(33):e57-e62. doi:</w:t>
      </w:r>
      <w:hyperlink r:id="rId29">
        <w:r>
          <w:rPr>
            <w:rStyle w:val="Hyperlink"/>
          </w:rPr>
          <w:t xml:space="preserve">10.14694/edbook_am.2013.33.e57</w:t>
        </w:r>
      </w:hyperlink>
    </w:p>
    <w:bookmarkEnd w:id="30"/>
    <w:bookmarkStart w:id="32" w:name="ref-lee201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Lee CI, Bassett LW, Lehman CD. Breast Density Legislation and Opportunities for Patient-centered Outcomes Research.</w:t>
      </w:r>
      <w:r>
        <w:t xml:space="preserve"> </w:t>
      </w:r>
      <w:r>
        <w:rPr>
          <w:iCs/>
          <w:i/>
        </w:rPr>
        <w:t xml:space="preserve">Radiology</w:t>
      </w:r>
      <w:r>
        <w:t xml:space="preserve">. 2012;264(3):632-636. doi:</w:t>
      </w:r>
      <w:hyperlink r:id="rId31">
        <w:r>
          <w:rPr>
            <w:rStyle w:val="Hyperlink"/>
          </w:rPr>
          <w:t xml:space="preserve">10.1148/radiol.12120184</w:t>
        </w:r>
      </w:hyperlink>
    </w:p>
    <w:bookmarkEnd w:id="32"/>
    <w:bookmarkStart w:id="34" w:name="ref-zanotel201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Zanotel M, Bednarova I, Londero V, et al. Automated breast ultrasound: basic principles and emerging clinical applications.</w:t>
      </w:r>
      <w:r>
        <w:t xml:space="preserve"> </w:t>
      </w:r>
      <w:r>
        <w:rPr>
          <w:iCs/>
          <w:i/>
        </w:rPr>
        <w:t xml:space="preserve">La radiologia medica</w:t>
      </w:r>
      <w:r>
        <w:t xml:space="preserve">. 2017;123(1):1-12. doi:</w:t>
      </w:r>
      <w:hyperlink r:id="rId33">
        <w:r>
          <w:rPr>
            <w:rStyle w:val="Hyperlink"/>
          </w:rPr>
          <w:t xml:space="preserve">10.1007/s11547-017-0805-z</w:t>
        </w:r>
      </w:hyperlink>
    </w:p>
    <w:bookmarkEnd w:id="34"/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oi.org/10.1007/s11547-017-0805-z" TargetMode="External" /><Relationship Type="http://schemas.openxmlformats.org/officeDocument/2006/relationships/hyperlink" Id="rId31" Target="https://doi.org/10.1148/radiol.12120184" TargetMode="External" /><Relationship Type="http://schemas.openxmlformats.org/officeDocument/2006/relationships/hyperlink" Id="rId27" Target="https://doi.org/10.1259/bjr.20211033" TargetMode="External" /><Relationship Type="http://schemas.openxmlformats.org/officeDocument/2006/relationships/hyperlink" Id="rId29" Target="https://doi.org/10.14694/edbook_am.2013.33.e57" TargetMode="External" /><Relationship Type="http://schemas.openxmlformats.org/officeDocument/2006/relationships/hyperlink" Id="rId20" Target="mailto:anna.garanina.90@mail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07/s11547-017-0805-z" TargetMode="External" /><Relationship Type="http://schemas.openxmlformats.org/officeDocument/2006/relationships/hyperlink" Id="rId31" Target="https://doi.org/10.1148/radiol.12120184" TargetMode="External" /><Relationship Type="http://schemas.openxmlformats.org/officeDocument/2006/relationships/hyperlink" Id="rId27" Target="https://doi.org/10.1259/bjr.20211033" TargetMode="External" /><Relationship Type="http://schemas.openxmlformats.org/officeDocument/2006/relationships/hyperlink" Id="rId29" Target="https://doi.org/10.14694/edbook_am.2013.33.e57" TargetMode="External" /><Relationship Type="http://schemas.openxmlformats.org/officeDocument/2006/relationships/hyperlink" Id="rId20" Target="mailto:anna.garanina.90@mail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Snr_Accur_4</dc:title>
  <dc:creator>AndreyPovaliy</dc:creator>
  <cp:keywords/>
  <dcterms:created xsi:type="dcterms:W3CDTF">2024-01-19T18:06:58Z</dcterms:created>
  <dcterms:modified xsi:type="dcterms:W3CDTF">2024-01-19T18:06:58Z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references2.bib</vt:lpwstr>
  </property>
  <property fmtid="{D5CDD505-2E9C-101B-9397-08002B2CF9AE}" pid="3" name="csl">
    <vt:lpwstr>american-medical-association-brackets.csl</vt:lpwstr>
  </property>
  <property fmtid="{D5CDD505-2E9C-101B-9397-08002B2CF9AE}" pid="4" name="date">
    <vt:lpwstr>2023-11-24</vt:lpwstr>
  </property>
  <property fmtid="{D5CDD505-2E9C-101B-9397-08002B2CF9AE}" pid="5" name="editor_options">
    <vt:lpwstr/>
  </property>
  <property fmtid="{D5CDD505-2E9C-101B-9397-08002B2CF9AE}" pid="6" name="output">
    <vt:lpwstr>word_document</vt:lpwstr>
  </property>
</Properties>
</file>