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2.png" ContentType="image/png"/>
  <Override PartName="/word/media/rId48.png" ContentType="image/png"/>
  <Override PartName="/word/media/rId45.png" ContentType="image/png"/>
  <Override PartName="/word/media/rId39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dexamethasone</w:t>
      </w:r>
    </w:p>
    <w:p>
      <w:pPr>
        <w:pStyle w:val="Author"/>
      </w:pPr>
      <w:r>
        <w:t xml:space="preserve">AndreyPovaliy</w:t>
      </w:r>
    </w:p>
    <w:p>
      <w:pPr>
        <w:pStyle w:val="Date"/>
      </w:pPr>
      <w:r>
        <w:t xml:space="preserve">2023-11-29</w:t>
      </w:r>
    </w:p>
    <w:p>
      <w:pPr>
        <w:pStyle w:val="FirstParagraph"/>
      </w:pPr>
      <w:r>
        <w:t xml:space="preserve">Федеральное государственное бюджетное образовательное учреждение высшего образования «Санкт-Петербургский государственный университет» Клиника высоких медицинских технологий им. Н. И. Пирогова</w:t>
      </w:r>
    </w:p>
    <w:p>
      <w:pPr>
        <w:pStyle w:val="BodyText"/>
      </w:pPr>
      <w:r>
        <w:t xml:space="preserve">Травматологическое отделение №2</w:t>
      </w:r>
    </w:p>
    <w:bookmarkStart w:id="100" w:name="протокол-клиического-исследования"/>
    <w:p>
      <w:pPr>
        <w:pStyle w:val="Heading1"/>
      </w:pPr>
      <w:r>
        <w:t xml:space="preserve">Протокол клиического исследования</w:t>
      </w:r>
    </w:p>
    <w:bookmarkStart w:id="20" w:name="Xe61e499ca265825c41df76ba1d882d4c73dd978"/>
    <w:p>
      <w:pPr>
        <w:pStyle w:val="Heading2"/>
      </w:pPr>
      <w:r>
        <w:t xml:space="preserve">Тема</w:t>
      </w:r>
      <w:r>
        <w:t xml:space="preserve"> </w:t>
      </w:r>
      <w:r>
        <w:t xml:space="preserve">“</w:t>
      </w:r>
      <w:r>
        <w:t xml:space="preserve">Влияние периоперационной дозы дексаметазона на послеоперационный болевой синдром</w:t>
      </w:r>
      <w:r>
        <w:t xml:space="preserve">”</w:t>
      </w:r>
    </w:p>
    <w:p>
      <w:pPr>
        <w:pStyle w:val="FirstParagraph"/>
      </w:pPr>
      <w:r>
        <w:t xml:space="preserve">Специальность: 3.1.8 – травматология и ортопедия</w:t>
      </w:r>
    </w:p>
    <w:p>
      <w:pPr>
        <w:pStyle w:val="BodyText"/>
      </w:pPr>
      <w:r>
        <w:t xml:space="preserve">Срок выполнения: 2024 гг.</w:t>
      </w:r>
    </w:p>
    <w:p>
      <w:pPr>
        <w:pStyle w:val="BodyText"/>
      </w:pPr>
      <w:r>
        <w:t xml:space="preserve">Исполнитель: врач травматолог-ортопед отделения травматологии №2, Клименко В.С.</w:t>
      </w:r>
    </w:p>
    <w:p>
      <w:pPr>
        <w:pStyle w:val="BodyText"/>
      </w:pPr>
      <w:r>
        <w:t xml:space="preserve">Санкт-Петербург, 2023 г.</w:t>
      </w:r>
    </w:p>
    <w:bookmarkEnd w:id="20"/>
    <w:bookmarkStart w:id="21" w:name="актуальность"/>
    <w:p>
      <w:pPr>
        <w:pStyle w:val="Heading2"/>
      </w:pPr>
      <w:r>
        <w:t xml:space="preserve">1. Актуальность</w:t>
      </w:r>
    </w:p>
    <w:p>
      <w:pPr>
        <w:pStyle w:val="FirstParagraph"/>
      </w:pPr>
      <w:r>
        <w:t xml:space="preserve">Операция тотального эндопротезирование коленного сустава (ТЭПКС) является одной из наиболее часто выполняемых и экономически эффективных операций на опорно-двигательном аппарате. На протяжении последних нескольких десятилетий потребность в этой процедуре продолжает возрастать во всем мире</w:t>
      </w:r>
      <w:r>
        <w:t xml:space="preserve"> </w:t>
      </w:r>
      <w:r>
        <w:t xml:space="preserve">[1]</w:t>
      </w:r>
      <w:r>
        <w:t xml:space="preserve">. ТЭПКС стало золотым стандартом лечения пациентов с терминальными стадиями артроза коленного сустава</w:t>
      </w:r>
      <w:r>
        <w:t xml:space="preserve"> </w:t>
      </w:r>
      <w:r>
        <w:t xml:space="preserve">[2]</w:t>
      </w:r>
      <w:r>
        <w:t xml:space="preserve">. В тоже время нельзя не отметить, что боль остается серьезной проблемой в раннем послеоперационном периоде</w:t>
      </w:r>
      <w:r>
        <w:t xml:space="preserve"> </w:t>
      </w:r>
      <w:r>
        <w:t xml:space="preserve">[3]</w:t>
      </w:r>
      <w:r>
        <w:t xml:space="preserve">. Это, наряду с послеоперационным отеком и мышечной слабостью, препятствует ранней мобилизации и реабилитации пациентов</w:t>
      </w:r>
      <w:r>
        <w:t xml:space="preserve"> </w:t>
      </w:r>
      <w:r>
        <w:t xml:space="preserve">[4]</w:t>
      </w:r>
      <w:r>
        <w:t xml:space="preserve">. Несмотря на применение мультимодальной аналгезии, включающей НПВП, парацетамол, местную инфильтрационную анестезию, выраженность болевых ощущений зачастую сохраняется на среднем или высоком уровне после операции</w:t>
      </w:r>
      <w:r>
        <w:t xml:space="preserve"> </w:t>
      </w:r>
      <w:r>
        <w:t xml:space="preserve">[5]</w:t>
      </w:r>
      <w:r>
        <w:t xml:space="preserve">.</w:t>
      </w:r>
    </w:p>
    <w:p>
      <w:pPr>
        <w:pStyle w:val="BodyText"/>
      </w:pPr>
      <w:r>
        <w:t xml:space="preserve">Кортикостероиды являются мощными противовоспалительными препаратами и играют физиологическую роль в подавлении медиаторов воспаления. Они доказали свою эффективность в послеоперационном обезболивании после различных видов операций</w:t>
      </w:r>
      <w:r>
        <w:t xml:space="preserve"> </w:t>
      </w:r>
      <w:r>
        <w:t xml:space="preserve">[6–9]</w:t>
      </w:r>
      <w:r>
        <w:t xml:space="preserve">.</w:t>
      </w:r>
    </w:p>
    <w:p>
      <w:pPr>
        <w:pStyle w:val="BodyText"/>
      </w:pPr>
      <w:r>
        <w:t xml:space="preserve">В последние годы были проведены метаанализы, оценивающие эффективность дексаметазона для контроля боли при тотальном эндопротезировании коленного или тазобедренного сустава</w:t>
      </w:r>
      <w:r>
        <w:t xml:space="preserve"> </w:t>
      </w:r>
      <w:r>
        <w:t xml:space="preserve">[10–14]</w:t>
      </w:r>
      <w:r>
        <w:t xml:space="preserve">. Несмотря на то, что исследования явно показывают преимущество периоперационного использования дексаметазона при выявленной безопасности, авторы указывают, что по-прежнему необходимы исследования изучения взаимосвязи между осложнениями и реакцией на дозу, чтобы сделать окончательный вывод.</w:t>
      </w:r>
    </w:p>
    <w:p>
      <w:pPr>
        <w:pStyle w:val="BodyText"/>
      </w:pPr>
      <w:r>
        <w:t xml:space="preserve">Существуют исследования, которые указывают на оптимальную дозу, которая принята на сегодняшний день 4-8 мг</w:t>
      </w:r>
      <w:r>
        <w:t xml:space="preserve"> </w:t>
      </w:r>
      <w:r>
        <w:t xml:space="preserve">[15]</w:t>
      </w:r>
      <w:r>
        <w:t xml:space="preserve">, однако проблему применения наркотических средств в раннем послеоперационном периоде эта доза не решает и эффект более высоких доз глюкокортикоидов является перспективным направлением модуляции послеоперационного ведения боли</w:t>
      </w:r>
      <w:r>
        <w:t xml:space="preserve"> </w:t>
      </w:r>
      <w:r>
        <w:t xml:space="preserve">[16–18]</w:t>
      </w:r>
      <w:r>
        <w:t xml:space="preserve"> </w:t>
      </w:r>
      <w:r>
        <w:t xml:space="preserve">.</w:t>
      </w:r>
    </w:p>
    <w:bookmarkEnd w:id="21"/>
    <w:bookmarkStart w:id="22" w:name="степень-разработанности-проблемы"/>
    <w:p>
      <w:pPr>
        <w:pStyle w:val="Heading2"/>
      </w:pPr>
      <w:r>
        <w:t xml:space="preserve">2. Степень разработанности проблемы</w:t>
      </w:r>
    </w:p>
    <w:p>
      <w:pPr>
        <w:pStyle w:val="FirstParagraph"/>
      </w:pPr>
      <w:r>
        <w:t xml:space="preserve">Вопрос увеличения дозы является дискутабельным и нами был проведен анализ литературы посвященной повешенных доз.</w:t>
      </w:r>
    </w:p>
    <w:p>
      <w:pPr>
        <w:pStyle w:val="BodyText"/>
      </w:pPr>
      <w:r>
        <w:t xml:space="preserve">Nielsen, Niklas I et al. в 2022 году</w:t>
      </w:r>
      <w:r>
        <w:t xml:space="preserve"> </w:t>
      </w:r>
      <w:r>
        <w:t xml:space="preserve">[16]</w:t>
      </w:r>
      <w:r>
        <w:t xml:space="preserve"> </w:t>
      </w:r>
      <w:r>
        <w:t xml:space="preserve">провели исследование в котором сравнивались различные высокие дозы (1,0 и 0,3 мг/кг). По сравнению с предоперационным введением дексаметазона в дозе 0,3 мг/кг внутривенно, дексаметазон в дозе 1 мг/кг уменьшал боль через 24 часа после ТЭПКС и улучшал восстановление у пациентов с высокой реакцией на боль без видимых побочных эффектов.</w:t>
      </w:r>
    </w:p>
    <w:p>
      <w:pPr>
        <w:pStyle w:val="BodyText"/>
      </w:pPr>
      <w:r>
        <w:t xml:space="preserve">Chan, Timmy Chi Wing et al. в 2020 году</w:t>
      </w:r>
      <w:r>
        <w:t xml:space="preserve"> </w:t>
      </w:r>
      <w:r>
        <w:t xml:space="preserve">[19]</w:t>
      </w:r>
      <w:r>
        <w:t xml:space="preserve"> </w:t>
      </w:r>
      <w:r>
        <w:t xml:space="preserve">сравнивали группы пациентов с увеличенной дозой 16мг, нормальной дозой 8 мг и плацебо. Прием дексаметазона в дозе 16 мг перед ТЭПКС привел к уменьшению послеоперационной боли, меньшему потреблению наркотических анальгетиков, увеличению силы четырехглавой мышцы и улучшению общего качества восстановления после операции.</w:t>
      </w:r>
    </w:p>
    <w:p>
      <w:pPr>
        <w:pStyle w:val="BodyText"/>
      </w:pPr>
      <w:r>
        <w:t xml:space="preserve">В нашем лечебном учреждении принят анестезиологический протокол, предполагающий введение 8 мг дексаметазона, при выполнении эндопротезирования коленного сустава, это соответствует общепринято практике</w:t>
      </w:r>
      <w:r>
        <w:t xml:space="preserve"> </w:t>
      </w:r>
      <w:r>
        <w:t xml:space="preserve">[15]</w:t>
      </w:r>
      <w:r>
        <w:t xml:space="preserve">.</w:t>
      </w:r>
    </w:p>
    <w:p>
      <w:pPr>
        <w:pStyle w:val="BodyText"/>
      </w:pPr>
      <w:r>
        <w:t xml:space="preserve">Опираясь на представленные выше метаанализы, а также информации из более поздних клинических исследований</w:t>
      </w:r>
      <w:r>
        <w:t xml:space="preserve"> </w:t>
      </w:r>
      <w:r>
        <w:t xml:space="preserve">[16,19]</w:t>
      </w:r>
      <w:r>
        <w:t xml:space="preserve">, в этой работе предполагается оценить эффективность повышенных дозировок дексаметазона: 0,3 мг/кг на уровень послеоперационного болевого синдрома, без увеличения побочных эффектов, по сравнению с стандартной дозой 8 мг</w:t>
      </w:r>
      <w:r>
        <w:t xml:space="preserve"> </w:t>
      </w:r>
      <w:r>
        <w:t xml:space="preserve">[15]</w:t>
      </w:r>
      <w:r>
        <w:t xml:space="preserve"> </w:t>
      </w:r>
      <w:r>
        <w:t xml:space="preserve">.</w:t>
      </w:r>
    </w:p>
    <w:bookmarkEnd w:id="22"/>
    <w:bookmarkStart w:id="23" w:name="цель-исследования"/>
    <w:p>
      <w:pPr>
        <w:pStyle w:val="Heading2"/>
      </w:pPr>
      <w:r>
        <w:t xml:space="preserve">3. Цель исследования</w:t>
      </w:r>
    </w:p>
    <w:p>
      <w:pPr>
        <w:pStyle w:val="FirstParagraph"/>
      </w:pPr>
      <w:r>
        <w:t xml:space="preserve">Провести клиническую оценку эффективности интраоперационных повышенных дозировок дексаметазона: 0,3 мг/кг на уровень послеоперационного болевого синдрома, по сравнению с стандартной дозой 8 мг.</w:t>
      </w:r>
    </w:p>
    <w:bookmarkEnd w:id="23"/>
    <w:bookmarkStart w:id="24" w:name="предмет-исследования"/>
    <w:p>
      <w:pPr>
        <w:pStyle w:val="Heading2"/>
      </w:pPr>
      <w:r>
        <w:t xml:space="preserve">4. Предмет исследования</w:t>
      </w:r>
    </w:p>
    <w:p>
      <w:pPr>
        <w:numPr>
          <w:ilvl w:val="0"/>
          <w:numId w:val="1001"/>
        </w:numPr>
        <w:pStyle w:val="Compact"/>
      </w:pPr>
      <w:r>
        <w:t xml:space="preserve">Болевой синдром в первые сутки после ТЭПКС, определяемое визуальными шкалами</w:t>
      </w:r>
    </w:p>
    <w:p>
      <w:pPr>
        <w:numPr>
          <w:ilvl w:val="0"/>
          <w:numId w:val="1001"/>
        </w:numPr>
        <w:pStyle w:val="Compact"/>
      </w:pPr>
      <w:r>
        <w:t xml:space="preserve">Ранее восстановление пациента после ТЭПКС, определяемое в ОД и силу мышцы.</w:t>
      </w:r>
    </w:p>
    <w:bookmarkEnd w:id="24"/>
    <w:bookmarkStart w:id="25" w:name="объект-исследования"/>
    <w:p>
      <w:pPr>
        <w:pStyle w:val="Heading2"/>
      </w:pPr>
      <w:r>
        <w:t xml:space="preserve">5. Объект исследования</w:t>
      </w:r>
    </w:p>
    <w:p>
      <w:pPr>
        <w:pStyle w:val="FirstParagraph"/>
      </w:pPr>
      <w:r>
        <w:t xml:space="preserve">Пациенты, перенесшие первичное тотальное эндопротезирование коленного сустава</w:t>
      </w:r>
    </w:p>
    <w:bookmarkEnd w:id="25"/>
    <w:bookmarkStart w:id="26" w:name="методы-исследования"/>
    <w:p>
      <w:pPr>
        <w:pStyle w:val="Heading2"/>
      </w:pPr>
      <w:r>
        <w:t xml:space="preserve">6. Методы исследования</w:t>
      </w:r>
    </w:p>
    <w:p>
      <w:pPr>
        <w:pStyle w:val="FirstParagraph"/>
      </w:pPr>
      <w:r>
        <w:t xml:space="preserve">Моноцентровое проспективное 2 слепое рандомизированное клиническое исследование планируется провести в период с января 2024 года по декабрь 2024 года. Планируется участие пациентов с диагнозом: «Идиопатический гонартроз III стадии»</w:t>
      </w:r>
    </w:p>
    <w:p>
      <w:pPr>
        <w:pStyle w:val="BodyText"/>
      </w:pPr>
      <w:r>
        <w:t xml:space="preserve">Планируемое количество пациентов 92 человека. Расчет количества пациентов проводился методом определения мощности пропорций по относительному показателю боли, выраженному в процентах (%) в уже проведенном в 2021 исследовании Nielsen N.I. и коллег</w:t>
      </w:r>
      <w:r>
        <w:t xml:space="preserve"> </w:t>
      </w:r>
      <w:r>
        <w:t xml:space="preserve">[16]</w:t>
      </w:r>
      <w:r>
        <w:t xml:space="preserve">, а именно был взят показатель боль при ходьбе через 24 часа после операции уменьшилась (высокая доза по сравнению со средней дозой, 49% против 79%; P&lt;0,01)</w:t>
      </w:r>
      <w:r>
        <w:t xml:space="preserve"> </w:t>
      </w:r>
      <w:r>
        <w:t xml:space="preserve">[16]</w:t>
      </w:r>
      <w:r>
        <w:t xml:space="preserve">.</w:t>
      </w:r>
    </w:p>
    <w:p>
      <w:pPr>
        <w:pStyle w:val="BodyText"/>
      </w:pPr>
      <w:r>
        <w:t xml:space="preserve">Разделение на группы будет выполнено по методу рандомизации. Метод рандомизации и метод двойного ослепления будет производиться следующим образом: при поступлении на отделение лечащий врач из заранее заготовленных закрытых конвертов, вытягивает конверт с указанием кода, который вклаыдывает в историю болезни вместе с подписанным согласием на исследование. Расшифровка кода в процессе госпитализации будет доступна только операционной медсестре, которая выполняет набор препарата. Набор препарата должен быть выполнен в одинаковом объеме и шприц с препаратом должен будет выгядеть одинаково. Недостающий объем будет дополняться физиологическим раствором.</w:t>
      </w:r>
    </w:p>
    <w:p>
      <w:pPr>
        <w:pStyle w:val="BodyText"/>
      </w:pPr>
      <w:r>
        <w:t xml:space="preserve">В группу А (предположительно 48 человек) буду включены пациенты, которым будет проводится протокол интраоперационного введения дексаметазона 0,3 мг/кг (исследуемая группа). В группе Б (предположительно 48 человек) будут включены пациенты, которым будет проводится интраоперационного введения дексаметазона 8 мг. (контрольная группа).</w:t>
      </w:r>
    </w:p>
    <w:p>
      <w:pPr>
        <w:pStyle w:val="BodyText"/>
      </w:pPr>
      <w:r>
        <w:rPr>
          <w:bCs/>
          <w:b/>
        </w:rPr>
        <w:t xml:space="preserve">Критерии включения пациентов:</w:t>
      </w:r>
    </w:p>
    <w:p>
      <w:pPr>
        <w:pStyle w:val="BodyText"/>
      </w:pPr>
      <w:r>
        <w:t xml:space="preserve">• пациенты, поступившие в отделение для не осложненного тотального эндопротезирования коленного сустава.</w:t>
      </w:r>
    </w:p>
    <w:p>
      <w:pPr>
        <w:pStyle w:val="BodyText"/>
      </w:pPr>
      <w:r>
        <w:rPr>
          <w:bCs/>
          <w:b/>
        </w:rPr>
        <w:t xml:space="preserve">Критерии не включения пациентов:</w:t>
      </w:r>
    </w:p>
    <w:p>
      <w:pPr>
        <w:pStyle w:val="BodyText"/>
      </w:pPr>
      <w:r>
        <w:t xml:space="preserve">• сахарный диабет</w:t>
      </w:r>
    </w:p>
    <w:p>
      <w:pPr>
        <w:pStyle w:val="BodyText"/>
      </w:pPr>
      <w:r>
        <w:t xml:space="preserve">• носительство вируса гепатита В или С</w:t>
      </w:r>
    </w:p>
    <w:p>
      <w:pPr>
        <w:pStyle w:val="BodyText"/>
      </w:pPr>
      <w:r>
        <w:t xml:space="preserve">• специфический артрит</w:t>
      </w:r>
    </w:p>
    <w:p>
      <w:pPr>
        <w:pStyle w:val="BodyText"/>
      </w:pPr>
      <w:r>
        <w:t xml:space="preserve">• хроническая почечная недостаточность (креатинин &gt;200 мкмоль/л)</w:t>
      </w:r>
    </w:p>
    <w:p>
      <w:pPr>
        <w:pStyle w:val="BodyText"/>
      </w:pPr>
      <w:r>
        <w:t xml:space="preserve">• язвенная болезнь</w:t>
      </w:r>
    </w:p>
    <w:p>
      <w:pPr>
        <w:pStyle w:val="BodyText"/>
      </w:pPr>
      <w:r>
        <w:t xml:space="preserve">• хроническое применение глюкокортикойдов</w:t>
      </w:r>
    </w:p>
    <w:p>
      <w:pPr>
        <w:pStyle w:val="BodyText"/>
      </w:pPr>
      <w:r>
        <w:t xml:space="preserve">• иммунодепрессантов, иммуномодулирующих препаратов, опиойдов.</w:t>
      </w:r>
    </w:p>
    <w:p>
      <w:pPr>
        <w:pStyle w:val="BodyText"/>
      </w:pPr>
      <w:r>
        <w:rPr>
          <w:bCs/>
          <w:b/>
        </w:rPr>
        <w:t xml:space="preserve">Регистрируемые данные:</w:t>
      </w:r>
    </w:p>
    <w:p>
      <w:pPr>
        <w:pStyle w:val="BodyText"/>
      </w:pPr>
      <w:r>
        <w:t xml:space="preserve">• Фамилия Имя Отчество</w:t>
      </w:r>
    </w:p>
    <w:p>
      <w:pPr>
        <w:pStyle w:val="BodyText"/>
      </w:pPr>
      <w:r>
        <w:t xml:space="preserve">• Возраст</w:t>
      </w:r>
    </w:p>
    <w:p>
      <w:pPr>
        <w:pStyle w:val="BodyText"/>
      </w:pPr>
      <w:r>
        <w:t xml:space="preserve">• Рост</w:t>
      </w:r>
    </w:p>
    <w:p>
      <w:pPr>
        <w:pStyle w:val="BodyText"/>
      </w:pPr>
      <w:r>
        <w:t xml:space="preserve">• Вес</w:t>
      </w:r>
    </w:p>
    <w:p>
      <w:pPr>
        <w:pStyle w:val="BodyText"/>
      </w:pPr>
      <w:r>
        <w:t xml:space="preserve">• Пол</w:t>
      </w:r>
    </w:p>
    <w:p>
      <w:pPr>
        <w:pStyle w:val="BodyText"/>
      </w:pPr>
      <w:r>
        <w:t xml:space="preserve">• ИМТ</w:t>
      </w:r>
    </w:p>
    <w:p>
      <w:pPr>
        <w:pStyle w:val="BodyText"/>
      </w:pPr>
      <w:r>
        <w:t xml:space="preserve">• Сопутсвующие заболевани (в частности нарушения толерантности к глюкозе) • Длительность госпитализации</w:t>
      </w:r>
    </w:p>
    <w:p>
      <w:pPr>
        <w:pStyle w:val="BodyText"/>
      </w:pPr>
      <w:r>
        <w:t xml:space="preserve">• Время жгута</w:t>
      </w:r>
    </w:p>
    <w:p>
      <w:pPr>
        <w:pStyle w:val="BodyText"/>
      </w:pPr>
      <w:r>
        <w:t xml:space="preserve">• Время операции</w:t>
      </w:r>
    </w:p>
    <w:p>
      <w:pPr>
        <w:pStyle w:val="BodyText"/>
      </w:pPr>
      <w:r>
        <w:rPr>
          <w:iCs/>
          <w:i/>
        </w:rPr>
        <w:t xml:space="preserve">Клинические методы исследования:</w:t>
      </w:r>
    </w:p>
    <w:p>
      <w:pPr>
        <w:pStyle w:val="BodyText"/>
      </w:pPr>
      <w:r>
        <w:t xml:space="preserve">• Оценка ВАШ до операции / 6 часов / 24, 48, 72 часа после операции Пример шкалы ВАШ представлен в приложении (16.1). Пациенту будет предлагаться самостоятельно заполнить шкалу.</w:t>
      </w:r>
    </w:p>
    <w:p>
      <w:pPr>
        <w:pStyle w:val="BodyText"/>
      </w:pPr>
      <w:r>
        <w:t xml:space="preserve">• Оценка силы 4-х главой мышцы до операции и на 3 сутки после. Straight leg raise (SLR) – тест. Для оценки SLR пациентов просили поднять прооперированную ногу с кровати, не сгибая колено, и удерживать это положение в течение 10 секунд. В нашем исследовании планируется исследовать количество дней от операции до первого положительного SLR теста и показатель будет записываться как время в часах</w:t>
      </w:r>
      <w:r>
        <w:t xml:space="preserve"> </w:t>
      </w:r>
      <w:r>
        <w:t xml:space="preserve">[20]</w:t>
      </w:r>
      <w:r>
        <w:t xml:space="preserve">.</w:t>
      </w:r>
    </w:p>
    <w:p>
      <w:pPr>
        <w:pStyle w:val="BodyText"/>
      </w:pPr>
      <w:r>
        <w:t xml:space="preserve">• Оценка объема движений до операции и на 3 сутки после. Методика измерения: Активное сгибание: положение пациента на спине на кушетке. Нижняя конечность расслаблена. Пациент, не отрывая пятку от кушетки производит сгибание в коленном суставе, затем разгибание. Угол сгибания в коленном суставе измеряется угломером. Результат регистрировался в градусах с точностью 1 градус. Пассивное сгибание: положение пациента на спине на кушетке. Нижняя конечность расслаблена. Врач своими руками производит сгибание в коленном суставе, затем разгибание. Измеряется угол в коленном суставе угломером. Результат регистрировался в градусах с точностью 1 градус.</w:t>
      </w:r>
    </w:p>
    <w:p>
      <w:pPr>
        <w:pStyle w:val="BodyText"/>
      </w:pPr>
      <w:r>
        <w:t xml:space="preserve">• Регистрация осложнений по шкале Dindo-Clavien Классификации представлена в приложении (16.3)</w:t>
      </w:r>
    </w:p>
    <w:p>
      <w:pPr>
        <w:pStyle w:val="BodyText"/>
      </w:pPr>
      <w:r>
        <w:t xml:space="preserve">• Количество обезболивающих препаратов, наркотического ряда за время стационарного лечения Регистрируется название препарата, его дозировка, количество применения в сутки. • Регистрация наличия инфекция в течении 2-3недель, т.е. на момент снятия швов. Регистрируется осложнение на момент завершения наблюдения 2-3 недели после операции.</w:t>
      </w:r>
    </w:p>
    <w:p>
      <w:pPr>
        <w:numPr>
          <w:ilvl w:val="0"/>
          <w:numId w:val="1002"/>
        </w:numPr>
        <w:pStyle w:val="Compact"/>
      </w:pPr>
      <w:r>
        <w:t xml:space="preserve">Quality of Recovery-15 на 24 часа после операции</w:t>
      </w:r>
    </w:p>
    <w:p>
      <w:pPr>
        <w:pStyle w:val="FirstParagraph"/>
      </w:pPr>
      <w:r>
        <w:t xml:space="preserve">Пример шкалы анкеты представлен в приложении (16.4). Пациенту будет предлагаться самостоятельно заполнить шкалу</w:t>
      </w:r>
      <w:r>
        <w:t xml:space="preserve"> </w:t>
      </w:r>
      <w:r>
        <w:t xml:space="preserve">[21]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Pain Catastrophizing Scale до операции и на 24 часа после операции</w:t>
      </w:r>
    </w:p>
    <w:p>
      <w:pPr>
        <w:pStyle w:val="FirstParagraph"/>
      </w:pPr>
      <w:r>
        <w:t xml:space="preserve">Пример шкалы анкеты представлен в приложении (16.5). Пациенту будет предлагаться самостоятельно заполнить шкалу</w:t>
      </w:r>
      <w:r>
        <w:t xml:space="preserve"> </w:t>
      </w:r>
      <w:r>
        <w:t xml:space="preserve">[22]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Лабораторные:</w:t>
      </w:r>
    </w:p>
    <w:p>
      <w:pPr>
        <w:numPr>
          <w:ilvl w:val="0"/>
          <w:numId w:val="1004"/>
        </w:numPr>
      </w:pPr>
      <w:r>
        <w:t xml:space="preserve">Биохимический панализ крови с учетом СРБ до операции 1,2 день после</w:t>
      </w:r>
      <w:r>
        <w:t xml:space="preserve"> </w:t>
      </w:r>
      <w:r>
        <w:t xml:space="preserve">[23]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Биохимический панализ крови с учетом глюкозы в крови на 6 часов и 24 часа</w:t>
      </w:r>
    </w:p>
    <w:p>
      <w:pPr>
        <w:pStyle w:val="FirstParagraph"/>
      </w:pPr>
      <w:r>
        <w:t xml:space="preserve">Статистические методы: сбор данных будет осуществляться при помощи программ Exel</w:t>
      </w:r>
      <w:r>
        <w:t xml:space="preserve"> </w:t>
      </w:r>
      <w:r>
        <w:t xml:space="preserve">[24]</w:t>
      </w:r>
      <w:r>
        <w:t xml:space="preserve">. Статистическая оценка будет проводиться с помощью встроенных пакетов программы Statistica 12</w:t>
      </w:r>
      <w:r>
        <w:t xml:space="preserve"> </w:t>
      </w:r>
      <w:r>
        <w:t xml:space="preserve">[25]</w:t>
      </w:r>
      <w:r>
        <w:t xml:space="preserve">. Для параметрических данных будет определяться нормальность распределения с помощью построения QQ-plot графика</w:t>
      </w:r>
      <w:r>
        <w:t xml:space="preserve">[26]</w:t>
      </w:r>
      <w:r>
        <w:t xml:space="preserve">. При нормально распределении для независимых выборок будет применяться t-тест Стьюдента, при ненормальном распределении U-тест Манна-Уитни. Для определения категориальных данным будет применяться либо Хи-кадрат Пиросона или точный критерий Фишера в зависимости требований, предъявляемых к данным</w:t>
      </w:r>
      <w:r>
        <w:t xml:space="preserve">[27]</w:t>
      </w:r>
      <w:r>
        <w:t xml:space="preserve">.</w:t>
      </w:r>
    </w:p>
    <w:bookmarkEnd w:id="26"/>
    <w:bookmarkStart w:id="27" w:name="средства-исследования"/>
    <w:p>
      <w:pPr>
        <w:pStyle w:val="Heading2"/>
      </w:pPr>
      <w:r>
        <w:t xml:space="preserve">7. Средства исследования:</w:t>
      </w:r>
    </w:p>
    <w:p>
      <w:pPr>
        <w:pStyle w:val="FirstParagraph"/>
      </w:pPr>
      <w:r>
        <w:t xml:space="preserve">• Форма оценки болевого синдрома ВАШ • Форма оценки осложнений шкала Dindo-Clavien • Набор хирургического инструментария, расходного материала и силового и специализированного оборудования</w:t>
      </w:r>
    </w:p>
    <w:bookmarkEnd w:id="27"/>
    <w:bookmarkStart w:id="31" w:name="объем-планируемых-исследований"/>
    <w:p>
      <w:pPr>
        <w:pStyle w:val="Heading2"/>
      </w:pPr>
      <w:r>
        <w:t xml:space="preserve">8. Объем планируемых исследований</w:t>
      </w:r>
    </w:p>
    <w:p>
      <w:pPr>
        <w:pStyle w:val="FirstParagraph"/>
      </w:pPr>
      <w:r>
        <w:t xml:space="preserve">Основные этапы проведения исследования представлены на рисунке №1.</w:t>
      </w:r>
    </w:p>
    <w:p>
      <w:pPr>
        <w:pStyle w:val="BodyText"/>
      </w:pPr>
      <w:r>
        <w:drawing>
          <wp:inline>
            <wp:extent cx="2755392" cy="8619744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sheme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392" cy="8619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Рисунок №1. Объем планируемых исследований</w:t>
      </w:r>
    </w:p>
    <w:bookmarkEnd w:id="31"/>
    <w:bookmarkStart w:id="32" w:name="X058f19235621bf693160fc5da9b0fcfa467930a"/>
    <w:p>
      <w:pPr>
        <w:pStyle w:val="Heading2"/>
      </w:pPr>
      <w:r>
        <w:t xml:space="preserve">9. Определение ролей исследователей по системе CRediT</w:t>
      </w:r>
    </w:p>
    <w:p>
      <w:pPr>
        <w:pStyle w:val="FirstParagraph"/>
      </w:pPr>
      <w:r>
        <w:t xml:space="preserve">В настоящем исследовании применена система CRediT, которая предоставляет авторам настоящего исследования описать точное и подробное описанием своего разнообразного вклада в опубликованную работу. Подробное описание представлено в приложении (16.2) 1. Клименко Вадим Сергеевич – концептуализация, методология, написание, рецензирование и редактирование научной публикации, контроль и управление проектом 2. Дорогинский Святослав Станиславович – сбор и валидация, данных, формальный анализ, проведение исследования 3. Бобиков Данил Георгиевич - сбор и валидация, данных, формальный анализ, проведение исследования 4. Повалий Андрей Александрович – методология, обработка данных, визуализация, первичный текст научной публикации</w:t>
      </w:r>
    </w:p>
    <w:bookmarkEnd w:id="32"/>
    <w:bookmarkStart w:id="33" w:name="научная-новизна"/>
    <w:p>
      <w:pPr>
        <w:pStyle w:val="Heading2"/>
      </w:pPr>
      <w:r>
        <w:t xml:space="preserve">10. Научная новизна</w:t>
      </w:r>
    </w:p>
    <w:p>
      <w:pPr>
        <w:pStyle w:val="FirstParagraph"/>
      </w:pPr>
      <w:r>
        <w:t xml:space="preserve">На основании исследования будет определена эффективность применения протокола интраоперационного использования повышенной дозы дексаметазона 0,3 мг/кг.</w:t>
      </w:r>
    </w:p>
    <w:bookmarkEnd w:id="33"/>
    <w:bookmarkStart w:id="34" w:name="ожидаемые-результаты"/>
    <w:p>
      <w:pPr>
        <w:pStyle w:val="Heading2"/>
      </w:pPr>
      <w:r>
        <w:t xml:space="preserve">11. Ожидаемые результаты</w:t>
      </w:r>
    </w:p>
    <w:p>
      <w:pPr>
        <w:pStyle w:val="FirstParagraph"/>
      </w:pPr>
      <w:r>
        <w:t xml:space="preserve">Согласно данным изученной литературы, ожидается более значимый результат в пользу группы B по показателям боли, потреблению наркотических обезболивающих и более низкий уровень СРБ, больший объем движений, большая сила 4-х главой мышцы. Отсутствие разницы между группами по показателям глюкоза в крови, осложнения и наличие послеоперационной инфекции.</w:t>
      </w:r>
    </w:p>
    <w:bookmarkEnd w:id="34"/>
    <w:bookmarkStart w:id="35" w:name="X1ce0b35ae15c6d8bdd04a524468f61cd0e7848a"/>
    <w:p>
      <w:pPr>
        <w:pStyle w:val="Heading2"/>
      </w:pPr>
      <w:r>
        <w:t xml:space="preserve">12. Возможная область применения результатов исследования</w:t>
      </w:r>
    </w:p>
    <w:p>
      <w:pPr>
        <w:pStyle w:val="FirstParagraph"/>
      </w:pPr>
      <w:r>
        <w:t xml:space="preserve">Результаты могут быть использованы в практической деятельности врачей травматологов-ортопедов в условиях стационара и учебно-педагогическом процессе студентов и врачей.</w:t>
      </w:r>
    </w:p>
    <w:bookmarkEnd w:id="35"/>
    <w:bookmarkStart w:id="36" w:name="формы-внедрения"/>
    <w:p>
      <w:pPr>
        <w:pStyle w:val="Heading2"/>
      </w:pPr>
      <w:r>
        <w:t xml:space="preserve">13. Формы внедрения:</w:t>
      </w:r>
    </w:p>
    <w:p>
      <w:pPr>
        <w:pStyle w:val="FirstParagraph"/>
      </w:pPr>
      <w:r>
        <w:t xml:space="preserve">Публикация статьи в научном журнале, издании методических пособий для практикующих врачей, выступление на российских конгрессах, в том числе с международным участием. Также результаты настоящего исследования являются частью диссертационного исследования Клименко В.С. по специальности</w:t>
      </w:r>
      <w:r>
        <w:t xml:space="preserve"> </w:t>
      </w:r>
      <w:r>
        <w:t xml:space="preserve">“</w:t>
      </w:r>
      <w:r>
        <w:t xml:space="preserve">3.1.8 – травматология и ортопедия</w:t>
      </w:r>
      <w:r>
        <w:t xml:space="preserve">”</w:t>
      </w:r>
      <w:r>
        <w:t xml:space="preserve">.</w:t>
      </w:r>
    </w:p>
    <w:bookmarkEnd w:id="36"/>
    <w:bookmarkStart w:id="37" w:name="практическая-значимость"/>
    <w:p>
      <w:pPr>
        <w:pStyle w:val="Heading2"/>
      </w:pPr>
      <w:r>
        <w:t xml:space="preserve">14. Практическая значимость</w:t>
      </w:r>
    </w:p>
    <w:p>
      <w:pPr>
        <w:pStyle w:val="FirstParagraph"/>
      </w:pPr>
      <w:r>
        <w:t xml:space="preserve">Формулирование рекомендации - повешенная доза интраоперационного введения дексаметазона 0,3 мг/кг эффективно влияет на уровень послеоперационного болевого синдрома при сопоставимой безопасности по сравнения с принятыми дозами.</w:t>
      </w:r>
    </w:p>
    <w:bookmarkEnd w:id="37"/>
    <w:bookmarkStart w:id="38" w:name="охраноспособность"/>
    <w:p>
      <w:pPr>
        <w:pStyle w:val="Heading2"/>
      </w:pPr>
      <w:r>
        <w:t xml:space="preserve">15. Охраноспособность</w:t>
      </w:r>
    </w:p>
    <w:p>
      <w:pPr>
        <w:pStyle w:val="FirstParagraph"/>
      </w:pPr>
      <w:r>
        <w:t xml:space="preserve">Планируемая тема является охраноспособной.</w:t>
      </w:r>
    </w:p>
    <w:bookmarkEnd w:id="38"/>
    <w:bookmarkStart w:id="51" w:name="приложение"/>
    <w:p>
      <w:pPr>
        <w:pStyle w:val="Heading2"/>
      </w:pPr>
      <w:r>
        <w:t xml:space="preserve">16. Приложение</w:t>
      </w:r>
    </w:p>
    <w:p>
      <w:pPr>
        <w:numPr>
          <w:ilvl w:val="0"/>
          <w:numId w:val="1005"/>
        </w:numPr>
        <w:pStyle w:val="Compact"/>
      </w:pPr>
      <w:r>
        <w:t xml:space="preserve">Шкала ВАШ</w:t>
      </w:r>
    </w:p>
    <w:p>
      <w:pPr>
        <w:pStyle w:val="FirstParagraph"/>
      </w:pPr>
      <w:r>
        <w:drawing>
          <wp:inline>
            <wp:extent cx="5334000" cy="151695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VAS_scale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6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2, Система CRediT (Contributor Roles Taxonomy)</w:t>
      </w:r>
      <w:r>
        <w:t xml:space="preserve"> </w:t>
      </w:r>
      <w:r>
        <w:drawing>
          <wp:inline>
            <wp:extent cx="5334000" cy="400314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CRediT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6"/>
        </w:numPr>
      </w:pPr>
      <w:r>
        <w:t xml:space="preserve">шкала Dindo-Clavien</w:t>
      </w:r>
    </w:p>
    <w:p>
      <w:pPr>
        <w:numPr>
          <w:ilvl w:val="0"/>
          <w:numId w:val="1000"/>
        </w:numPr>
      </w:pPr>
      <w:r>
        <w:t xml:space="preserve">I степень</w:t>
      </w:r>
    </w:p>
    <w:p>
      <w:pPr>
        <w:numPr>
          <w:ilvl w:val="0"/>
          <w:numId w:val="1000"/>
        </w:numPr>
      </w:pPr>
      <w:r>
        <w:t xml:space="preserve">• Неэффективность стандартной нестероидной противовоспалительной терапии, требующая назначения опиоидов и применения других способов обезболивания (в т.ч. с последующим увеличением срока наблюдения за пациентом)</w:t>
      </w:r>
    </w:p>
    <w:p>
      <w:pPr>
        <w:numPr>
          <w:ilvl w:val="0"/>
          <w:numId w:val="1000"/>
        </w:numPr>
      </w:pPr>
      <w:r>
        <w:t xml:space="preserve">• Пролонгированная антибиотикопрофилактика и антибактериальная терапия</w:t>
      </w:r>
    </w:p>
    <w:p>
      <w:pPr>
        <w:numPr>
          <w:ilvl w:val="0"/>
          <w:numId w:val="1000"/>
        </w:numPr>
      </w:pPr>
      <w:r>
        <w:t xml:space="preserve">• Незначительные или умеренные осложнения или особенности оперативного лечения, приводящие к ограничению или отсутствию опорной нагрузки на прооперированную конечность</w:t>
      </w:r>
    </w:p>
    <w:p>
      <w:pPr>
        <w:numPr>
          <w:ilvl w:val="0"/>
          <w:numId w:val="1000"/>
        </w:numPr>
      </w:pPr>
      <w:r>
        <w:t xml:space="preserve">• Кровотечение из раны, не требующее применения лекарственных или хирургических гемостатических мероприятий (давящая повязка, возвышенное положение конечности, местная гипотермия)</w:t>
      </w:r>
    </w:p>
    <w:p>
      <w:pPr>
        <w:numPr>
          <w:ilvl w:val="0"/>
          <w:numId w:val="1000"/>
        </w:numPr>
      </w:pPr>
      <w:r>
        <w:t xml:space="preserve">• Местные изменения кожных покровов, в т.ч. пролежни 1-2 степени, кожные пузыри на фоне отека (волдыри, везикулы).</w:t>
      </w:r>
    </w:p>
    <w:p>
      <w:pPr>
        <w:numPr>
          <w:ilvl w:val="0"/>
          <w:numId w:val="1000"/>
        </w:numPr>
      </w:pPr>
      <w:r>
        <w:t xml:space="preserve">II степень</w:t>
      </w:r>
    </w:p>
    <w:p>
      <w:pPr>
        <w:numPr>
          <w:ilvl w:val="0"/>
          <w:numId w:val="1000"/>
        </w:numPr>
      </w:pPr>
      <w:r>
        <w:t xml:space="preserve">• Продолжающееся кровотечение, требующее применение дополнительных методов гемостаза (плазмотрансфузии, системные гемостатики и тд.)</w:t>
      </w:r>
    </w:p>
    <w:p>
      <w:pPr>
        <w:numPr>
          <w:ilvl w:val="0"/>
          <w:numId w:val="1000"/>
        </w:numPr>
      </w:pPr>
      <w:r>
        <w:t xml:space="preserve">• Анемия средней и тяжелой степени, требующая проведения гемотрансфузии</w:t>
      </w:r>
    </w:p>
    <w:p>
      <w:pPr>
        <w:numPr>
          <w:ilvl w:val="0"/>
          <w:numId w:val="1000"/>
        </w:numPr>
      </w:pPr>
      <w:r>
        <w:t xml:space="preserve">• Периферические неврологические нарушения, связанные с оперативным вмешательством и/или анестезией, не требующие дополнительных вмешательств</w:t>
      </w:r>
    </w:p>
    <w:p>
      <w:pPr>
        <w:numPr>
          <w:ilvl w:val="0"/>
          <w:numId w:val="1000"/>
        </w:numPr>
      </w:pPr>
      <w:r>
        <w:t xml:space="preserve">• Послеоперационные неосложненные травмы</w:t>
      </w:r>
    </w:p>
    <w:p>
      <w:pPr>
        <w:numPr>
          <w:ilvl w:val="0"/>
          <w:numId w:val="1000"/>
        </w:numPr>
      </w:pPr>
      <w:r>
        <w:t xml:space="preserve">• Умеренная контрактура, не требующая дополнительных оперативных вмешательств</w:t>
      </w:r>
    </w:p>
    <w:p>
      <w:pPr>
        <w:numPr>
          <w:ilvl w:val="0"/>
          <w:numId w:val="1000"/>
        </w:numPr>
      </w:pPr>
      <w:r>
        <w:t xml:space="preserve">• Интраоперационная фрагментация костных отломков, требующая дополнительных средств фиксации и изменения послеоперационного режима</w:t>
      </w:r>
    </w:p>
    <w:p>
      <w:pPr>
        <w:numPr>
          <w:ilvl w:val="0"/>
          <w:numId w:val="1000"/>
        </w:numPr>
      </w:pPr>
      <w:r>
        <w:t xml:space="preserve">• Тромбоз глубоких вен нижних конечностей</w:t>
      </w:r>
    </w:p>
    <w:p>
      <w:pPr>
        <w:numPr>
          <w:ilvl w:val="0"/>
          <w:numId w:val="1000"/>
        </w:numPr>
      </w:pPr>
      <w:r>
        <w:t xml:space="preserve">III степень*</w:t>
      </w:r>
    </w:p>
    <w:p>
      <w:pPr>
        <w:numPr>
          <w:ilvl w:val="0"/>
          <w:numId w:val="1000"/>
        </w:numPr>
      </w:pPr>
      <w:r>
        <w:t xml:space="preserve">• Активное продолжающееся кровотечение, требующее хирургических методов гемостаза</w:t>
      </w:r>
    </w:p>
    <w:p>
      <w:pPr>
        <w:numPr>
          <w:ilvl w:val="0"/>
          <w:numId w:val="1000"/>
        </w:numPr>
      </w:pPr>
      <w:r>
        <w:t xml:space="preserve">• Расхождение краев раны, требующее наложение швов</w:t>
      </w:r>
    </w:p>
    <w:p>
      <w:pPr>
        <w:numPr>
          <w:ilvl w:val="0"/>
          <w:numId w:val="1000"/>
        </w:numPr>
      </w:pPr>
      <w:r>
        <w:t xml:space="preserve">• Некроз краев раны, требующее некрэктомии</w:t>
      </w:r>
    </w:p>
    <w:p>
      <w:pPr>
        <w:numPr>
          <w:ilvl w:val="0"/>
          <w:numId w:val="1000"/>
        </w:numPr>
      </w:pPr>
      <w:r>
        <w:t xml:space="preserve">• Остеолиз, в том числе с формированием секвестра</w:t>
      </w:r>
    </w:p>
    <w:p>
      <w:pPr>
        <w:numPr>
          <w:ilvl w:val="0"/>
          <w:numId w:val="1000"/>
        </w:numPr>
      </w:pPr>
      <w:r>
        <w:t xml:space="preserve">• Выраженная контрактура, в том числе с гетеротопической оссификацией капсулы сустава, приводящая к стойкому нарушению функции сегмента</w:t>
      </w:r>
    </w:p>
    <w:p>
      <w:pPr>
        <w:numPr>
          <w:ilvl w:val="0"/>
          <w:numId w:val="1000"/>
        </w:numPr>
      </w:pPr>
      <w:r>
        <w:t xml:space="preserve">• Ранняя и поздняя раневая инфекция, требующая санации</w:t>
      </w:r>
    </w:p>
    <w:p>
      <w:pPr>
        <w:numPr>
          <w:ilvl w:val="0"/>
          <w:numId w:val="1000"/>
        </w:numPr>
      </w:pPr>
      <w:r>
        <w:t xml:space="preserve">• Стойкие периферические неврологические нарушения, требующие дополнительных оперативных вмешательств (невролиз, декомпрессия и тд.)</w:t>
      </w:r>
    </w:p>
    <w:p>
      <w:pPr>
        <w:numPr>
          <w:ilvl w:val="0"/>
          <w:numId w:val="1000"/>
        </w:numPr>
      </w:pPr>
      <w:r>
        <w:t xml:space="preserve">• Несрастание зон остеотомии, приводящие к формированию ложных суставов и выраженному нарушению функции сегмента</w:t>
      </w:r>
    </w:p>
    <w:p>
      <w:pPr>
        <w:numPr>
          <w:ilvl w:val="0"/>
          <w:numId w:val="1000"/>
        </w:numPr>
      </w:pPr>
      <w:r>
        <w:t xml:space="preserve">• Посеоперационные травмы, осложненные вторичным смещением костных отломков и/или металлоконструкций, переломами костей, повреждением капсульно-связочных аппаратов, требующие повторных вмешательств</w:t>
      </w:r>
    </w:p>
    <w:p>
      <w:pPr>
        <w:numPr>
          <w:ilvl w:val="0"/>
          <w:numId w:val="1000"/>
        </w:numPr>
      </w:pPr>
      <w:r>
        <w:t xml:space="preserve">• Рецидив или возникновение вторичных деформаций</w:t>
      </w:r>
    </w:p>
    <w:p>
      <w:pPr>
        <w:numPr>
          <w:ilvl w:val="0"/>
          <w:numId w:val="1000"/>
        </w:numPr>
      </w:pPr>
      <w:r>
        <w:t xml:space="preserve">IIIa - дополнительные вмешательства без общей анестезии</w:t>
      </w:r>
    </w:p>
    <w:p>
      <w:pPr>
        <w:numPr>
          <w:ilvl w:val="0"/>
          <w:numId w:val="1000"/>
        </w:numPr>
      </w:pPr>
      <w:r>
        <w:t xml:space="preserve">IIIb - дополнительные вмешательства под общей анестезией IV степень</w:t>
      </w:r>
    </w:p>
    <w:p>
      <w:pPr>
        <w:numPr>
          <w:ilvl w:val="0"/>
          <w:numId w:val="1000"/>
        </w:numPr>
      </w:pPr>
      <w:r>
        <w:t xml:space="preserve">IV A Недостаточность одного органа/системы органов: печеночная недостаточность, почечная недостаточность, нарушения ритма СС, сердечная недостаточность, дыхательная недостаточность (декомпенсация ХОБЛ или БА) центральные неврологические нарушения и тд.</w:t>
      </w:r>
    </w:p>
    <w:p>
      <w:pPr>
        <w:numPr>
          <w:ilvl w:val="0"/>
          <w:numId w:val="1000"/>
        </w:numPr>
      </w:pPr>
      <w:r>
        <w:t xml:space="preserve">IV B Полиорганная недостаточность: ТЭЛА, сепсис и тд.</w:t>
      </w:r>
    </w:p>
    <w:p>
      <w:pPr>
        <w:numPr>
          <w:ilvl w:val="0"/>
          <w:numId w:val="1000"/>
        </w:numPr>
      </w:pPr>
      <w:r>
        <w:br/>
      </w:r>
      <w:r>
        <w:t xml:space="preserve">V степень Смерть пациента</w:t>
      </w:r>
    </w:p>
    <w:p>
      <w:pPr>
        <w:numPr>
          <w:ilvl w:val="0"/>
          <w:numId w:val="1006"/>
        </w:numPr>
      </w:pPr>
      <w:r>
        <w:t xml:space="preserve">анкета Quality of Recovery-15</w:t>
      </w:r>
    </w:p>
    <w:p>
      <w:pPr>
        <w:pStyle w:val="FirstParagraph"/>
      </w:pPr>
      <w:r>
        <w:drawing>
          <wp:inline>
            <wp:extent cx="5334000" cy="661154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Quality%20of%20Recovery-15%2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1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7"/>
        </w:numPr>
        <w:pStyle w:val="Compact"/>
      </w:pPr>
      <w:r>
        <w:t xml:space="preserve">анкета Pain Catastrophizing Scale</w:t>
      </w:r>
    </w:p>
    <w:p>
      <w:pPr>
        <w:pStyle w:val="FirstParagraph"/>
      </w:pPr>
      <w:r>
        <w:drawing>
          <wp:inline>
            <wp:extent cx="5334000" cy="589547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Pain%20Catastrophizing%20Scale%2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список-сокращений"/>
    <w:p>
      <w:pPr>
        <w:pStyle w:val="Heading2"/>
      </w:pPr>
      <w:r>
        <w:t xml:space="preserve">17. Список сокращений</w:t>
      </w:r>
    </w:p>
    <w:p>
      <w:pPr>
        <w:pStyle w:val="FirstParagraph"/>
      </w:pPr>
      <w:r>
        <w:t xml:space="preserve">ТЭПКС – тотальное эндопротезирование коленного сустава</w:t>
      </w:r>
    </w:p>
    <w:p>
      <w:pPr>
        <w:pStyle w:val="BodyText"/>
      </w:pPr>
      <w:r>
        <w:t xml:space="preserve">Hb – гемоглобин</w:t>
      </w:r>
    </w:p>
    <w:p>
      <w:pPr>
        <w:pStyle w:val="BodyText"/>
      </w:pPr>
      <w:r>
        <w:t xml:space="preserve">ОД - объема движений</w:t>
      </w:r>
    </w:p>
    <w:p>
      <w:pPr>
        <w:pStyle w:val="BodyText"/>
      </w:pPr>
      <w:r>
        <w:t xml:space="preserve">ВАШ- визуальная аналоговая шкала</w:t>
      </w:r>
    </w:p>
    <w:p>
      <w:pPr>
        <w:pStyle w:val="BodyText"/>
      </w:pPr>
      <w:r>
        <w:t xml:space="preserve">СРБ - С-реактивный белок</w:t>
      </w:r>
    </w:p>
    <w:p>
      <w:pPr>
        <w:pStyle w:val="BodyText"/>
      </w:pPr>
      <w:r>
        <w:t xml:space="preserve">SLR - Straight leg raise (Подъём прямой ноги)</w:t>
      </w:r>
    </w:p>
    <w:p>
      <w:pPr>
        <w:pStyle w:val="BodyText"/>
      </w:pPr>
      <w:r>
        <w:t xml:space="preserve">CRediT - Contributor Roles Taxonomy</w:t>
      </w:r>
    </w:p>
    <w:bookmarkEnd w:id="52"/>
    <w:bookmarkStart w:id="99" w:name="список-используемой-литературы"/>
    <w:p>
      <w:pPr>
        <w:pStyle w:val="Heading2"/>
      </w:pPr>
      <w:r>
        <w:t xml:space="preserve">18. Список используемой литературы</w:t>
      </w:r>
    </w:p>
    <w:bookmarkStart w:id="98" w:name="refs"/>
    <w:bookmarkStart w:id="54" w:name="ref-price2018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Price AJ, Alvand A, Troelsen A, et al. Knee replacement.</w:t>
      </w:r>
      <w:r>
        <w:t xml:space="preserve"> </w:t>
      </w:r>
      <w:r>
        <w:rPr>
          <w:iCs/>
          <w:i/>
        </w:rPr>
        <w:t xml:space="preserve">The Lancet</w:t>
      </w:r>
      <w:r>
        <w:t xml:space="preserve">. 2018;392(10158):1672-1682. doi:</w:t>
      </w:r>
      <w:hyperlink r:id="rId53">
        <w:r>
          <w:rPr>
            <w:rStyle w:val="Hyperlink"/>
          </w:rPr>
          <w:t xml:space="preserve">10.1016/s0140-6736(18)32344-4</w:t>
        </w:r>
      </w:hyperlink>
    </w:p>
    <w:bookmarkEnd w:id="54"/>
    <w:bookmarkStart w:id="55" w:name="ref-sharma2021osteoarthritis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Sharma L. Osteoarthritis of the knee.</w:t>
      </w:r>
      <w:r>
        <w:t xml:space="preserve"> </w:t>
      </w:r>
      <w:r>
        <w:rPr>
          <w:iCs/>
          <w:i/>
        </w:rPr>
        <w:t xml:space="preserve">New England Journal of Medicine</w:t>
      </w:r>
      <w:r>
        <w:t xml:space="preserve">. 2021;384(1):51-59.</w:t>
      </w:r>
    </w:p>
    <w:bookmarkEnd w:id="55"/>
    <w:bookmarkStart w:id="57" w:name="ref-aasvang2015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Aasvang EK, Luna IE, Kehlet H. Challenges in postdischarge function and recovery: the case of fast-track hip and knee arthroplasty.</w:t>
      </w:r>
      <w:r>
        <w:t xml:space="preserve"> </w:t>
      </w:r>
      <w:r>
        <w:rPr>
          <w:iCs/>
          <w:i/>
        </w:rPr>
        <w:t xml:space="preserve">British Journal of Anaesthesia</w:t>
      </w:r>
      <w:r>
        <w:t xml:space="preserve">. 2015;115(6):861-866. doi:</w:t>
      </w:r>
      <w:hyperlink r:id="rId56">
        <w:r>
          <w:rPr>
            <w:rStyle w:val="Hyperlink"/>
          </w:rPr>
          <w:t xml:space="preserve">10.1093/bja/aev257</w:t>
        </w:r>
      </w:hyperlink>
    </w:p>
    <w:bookmarkEnd w:id="57"/>
    <w:bookmarkStart w:id="59" w:name="ref-petersen2020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Petersen PB, Kehlet H, Jørgensen CC, et al. Improvement in fast-track hip and knee arthroplasty: a prospective multicentre study of 36,935 procedures from 2010 to 2017.</w:t>
      </w:r>
      <w:r>
        <w:t xml:space="preserve"> </w:t>
      </w:r>
      <w:r>
        <w:rPr>
          <w:iCs/>
          <w:i/>
        </w:rPr>
        <w:t xml:space="preserve">Scientific Reports</w:t>
      </w:r>
      <w:r>
        <w:t xml:space="preserve">. 2020;10(1). doi:</w:t>
      </w:r>
      <w:hyperlink r:id="rId58">
        <w:r>
          <w:rPr>
            <w:rStyle w:val="Hyperlink"/>
          </w:rPr>
          <w:t xml:space="preserve">10.1038/s41598-020-77127-6</w:t>
        </w:r>
      </w:hyperlink>
    </w:p>
    <w:bookmarkEnd w:id="59"/>
    <w:bookmarkStart w:id="61" w:name="ref-webb2018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Webb CAJ, Madison S, Goodman SB, Mariano ER, Horn JL. Perioperative Pain Management for Total Knee Arthroplasty: Need More Focus on the Forest and Less on the Trees.</w:t>
      </w:r>
      <w:r>
        <w:t xml:space="preserve"> </w:t>
      </w:r>
      <w:r>
        <w:rPr>
          <w:iCs/>
          <w:i/>
        </w:rPr>
        <w:t xml:space="preserve">Anesthesiology</w:t>
      </w:r>
      <w:r>
        <w:t xml:space="preserve">. 2018;128(2):420-421. doi:</w:t>
      </w:r>
      <w:hyperlink r:id="rId60">
        <w:r>
          <w:rPr>
            <w:rStyle w:val="Hyperlink"/>
          </w:rPr>
          <w:t xml:space="preserve">10.1097/aln.0000000000001992</w:t>
        </w:r>
      </w:hyperlink>
    </w:p>
    <w:bookmarkEnd w:id="61"/>
    <w:bookmarkStart w:id="63" w:name="ref-salerno200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Salerno A, Hermann R. Efficacy and Safety of Steroid Use for Postoperative Pain Relief.</w:t>
      </w:r>
      <w:r>
        <w:t xml:space="preserve"> </w:t>
      </w:r>
      <w:r>
        <w:rPr>
          <w:iCs/>
          <w:i/>
        </w:rPr>
        <w:t xml:space="preserve">The Journal of Bone &amp; Joint Surgery</w:t>
      </w:r>
      <w:r>
        <w:t xml:space="preserve">. 2006;88(6):1361-1372. doi:</w:t>
      </w:r>
      <w:hyperlink r:id="rId62">
        <w:r>
          <w:rPr>
            <w:rStyle w:val="Hyperlink"/>
          </w:rPr>
          <w:t xml:space="preserve">10.2106/jbjs.d.03018</w:t>
        </w:r>
      </w:hyperlink>
    </w:p>
    <w:bookmarkEnd w:id="63"/>
    <w:bookmarkStart w:id="65" w:name="ref-kjetil2007"/>
    <w:p>
      <w:pPr>
        <w:pStyle w:val="Bibliography"/>
      </w:pPr>
      <w:r>
        <w:t xml:space="preserve">7.</w:t>
      </w:r>
      <w:r>
        <w:t xml:space="preserve"> </w:t>
      </w:r>
      <w:r>
        <w:t xml:space="preserve">	</w:t>
      </w:r>
      <w:r>
        <w:t xml:space="preserve">Kjetil H, Sem TK, Ellen S, Johan R. The Prolonged Postoperative Analgesic Effect When Dexamethasone Is Added to a Nonsteroidal Antiinflammatory Drug (Rofecoxib) Before Breast Surgery.</w:t>
      </w:r>
      <w:r>
        <w:t xml:space="preserve"> </w:t>
      </w:r>
      <w:r>
        <w:rPr>
          <w:iCs/>
          <w:i/>
        </w:rPr>
        <w:t xml:space="preserve">Anesthesia &amp; Analgesia</w:t>
      </w:r>
      <w:r>
        <w:t xml:space="preserve">. 2007;105(2):481-486. doi:</w:t>
      </w:r>
      <w:hyperlink r:id="rId64">
        <w:r>
          <w:rPr>
            <w:rStyle w:val="Hyperlink"/>
          </w:rPr>
          <w:t xml:space="preserve">10.1213/01.ane.0000267261.61444.69</w:t>
        </w:r>
      </w:hyperlink>
    </w:p>
    <w:bookmarkEnd w:id="65"/>
    <w:bookmarkStart w:id="67" w:name="ref-romundstad2004"/>
    <w:p>
      <w:pPr>
        <w:pStyle w:val="Bibliography"/>
      </w:pPr>
      <w:r>
        <w:t xml:space="preserve">8.</w:t>
      </w:r>
      <w:r>
        <w:t xml:space="preserve"> </w:t>
      </w:r>
      <w:r>
        <w:t xml:space="preserve">	</w:t>
      </w:r>
      <w:r>
        <w:t xml:space="preserve">Romundstad L, Breivik H, Niemi G, Helle A, Stubhaug A. Methylprednisolone intravenously 1</w:t>
      </w:r>
      <w:r>
        <w:t xml:space="preserve">day after surgery has sustained analgesic and opioid</w:t>
      </w:r>
      <w:r>
        <w:t xml:space="preserve">-</w:t>
      </w:r>
      <w:r>
        <w:t xml:space="preserve">sparing effects.</w:t>
      </w:r>
      <w:r>
        <w:t xml:space="preserve"> </w:t>
      </w:r>
      <w:r>
        <w:rPr>
          <w:iCs/>
          <w:i/>
        </w:rPr>
        <w:t xml:space="preserve">Acta Anaesthesiologica Scandinavica</w:t>
      </w:r>
      <w:r>
        <w:t xml:space="preserve">. 2004;48(10):1223-1231. doi:</w:t>
      </w:r>
      <w:hyperlink r:id="rId66">
        <w:r>
          <w:rPr>
            <w:rStyle w:val="Hyperlink"/>
          </w:rPr>
          <w:t xml:space="preserve">10.1111/j.1399-6576.2004.00480.x</w:t>
        </w:r>
      </w:hyperlink>
    </w:p>
    <w:bookmarkEnd w:id="67"/>
    <w:bookmarkStart w:id="69" w:name="ref-bisgaard2003"/>
    <w:p>
      <w:pPr>
        <w:pStyle w:val="Bibliography"/>
      </w:pPr>
      <w:r>
        <w:t xml:space="preserve">9.</w:t>
      </w:r>
      <w:r>
        <w:t xml:space="preserve"> </w:t>
      </w:r>
      <w:r>
        <w:t xml:space="preserve">	</w:t>
      </w:r>
      <w:r>
        <w:t xml:space="preserve">Bisgaard T, Klarskov B, Kehlet H, Rosenberg J. Preoperative Dexamethasone Improves Surgical Outcome After Laparoscopic Cholecystectomy.</w:t>
      </w:r>
      <w:r>
        <w:t xml:space="preserve"> </w:t>
      </w:r>
      <w:r>
        <w:rPr>
          <w:iCs/>
          <w:i/>
        </w:rPr>
        <w:t xml:space="preserve">Annals of Surgery</w:t>
      </w:r>
      <w:r>
        <w:t xml:space="preserve">. 2003;238(5):651-660. doi:</w:t>
      </w:r>
      <w:hyperlink r:id="rId68">
        <w:r>
          <w:rPr>
            <w:rStyle w:val="Hyperlink"/>
          </w:rPr>
          <w:t xml:space="preserve">10.1097/01.sla.0000094390.82352.cb</w:t>
        </w:r>
      </w:hyperlink>
    </w:p>
    <w:bookmarkEnd w:id="69"/>
    <w:bookmarkStart w:id="71" w:name="ref-fan2018"/>
    <w:p>
      <w:pPr>
        <w:pStyle w:val="Bibliography"/>
      </w:pPr>
      <w:r>
        <w:t xml:space="preserve">10.</w:t>
      </w:r>
      <w:r>
        <w:t xml:space="preserve"> </w:t>
      </w:r>
      <w:r>
        <w:t xml:space="preserve">	</w:t>
      </w:r>
      <w:r>
        <w:t xml:space="preserve">Fan Z, Ma J, Kuang M, et al. The efficacy of dexamethasone reducing postoperative pain and emesis after total knee arthroplasty: A systematic review and meta-analysis.</w:t>
      </w:r>
      <w:r>
        <w:t xml:space="preserve"> </w:t>
      </w:r>
      <w:r>
        <w:rPr>
          <w:iCs/>
          <w:i/>
        </w:rPr>
        <w:t xml:space="preserve">International Journal of Surgery</w:t>
      </w:r>
      <w:r>
        <w:t xml:space="preserve">. 2018;52:149-155. doi:</w:t>
      </w:r>
      <w:hyperlink r:id="rId70">
        <w:r>
          <w:rPr>
            <w:rStyle w:val="Hyperlink"/>
          </w:rPr>
          <w:t xml:space="preserve">10.1016/j.ijsu.2018.02.043</w:t>
        </w:r>
      </w:hyperlink>
    </w:p>
    <w:bookmarkEnd w:id="71"/>
    <w:bookmarkStart w:id="73" w:name="ref-liu2017"/>
    <w:p>
      <w:pPr>
        <w:pStyle w:val="Bibliography"/>
      </w:pPr>
      <w:r>
        <w:t xml:space="preserve">11.</w:t>
      </w:r>
      <w:r>
        <w:t xml:space="preserve"> </w:t>
      </w:r>
      <w:r>
        <w:t xml:space="preserve">	</w:t>
      </w:r>
      <w:r>
        <w:t xml:space="preserve">Liu X, Liu J, Sun G. Preoperative intravenous glucocorticoids can reduce postoperative acute pain following total knee arthroplasty.</w:t>
      </w:r>
      <w:r>
        <w:t xml:space="preserve"> </w:t>
      </w:r>
      <w:r>
        <w:rPr>
          <w:iCs/>
          <w:i/>
        </w:rPr>
        <w:t xml:space="preserve">Medicine</w:t>
      </w:r>
      <w:r>
        <w:t xml:space="preserve">. 2017;96(35):e7836. doi:</w:t>
      </w:r>
      <w:hyperlink r:id="rId72">
        <w:r>
          <w:rPr>
            <w:rStyle w:val="Hyperlink"/>
          </w:rPr>
          <w:t xml:space="preserve">10.1097/md.0000000000007836</w:t>
        </w:r>
      </w:hyperlink>
    </w:p>
    <w:bookmarkEnd w:id="73"/>
    <w:bookmarkStart w:id="75" w:name="ref-meng2017"/>
    <w:p>
      <w:pPr>
        <w:pStyle w:val="Bibliography"/>
      </w:pPr>
      <w:r>
        <w:t xml:space="preserve">12.</w:t>
      </w:r>
      <w:r>
        <w:t xml:space="preserve"> </w:t>
      </w:r>
      <w:r>
        <w:t xml:space="preserve">	</w:t>
      </w:r>
      <w:r>
        <w:t xml:space="preserve">Meng J, Li L. The efficiency and safety of dexamethasone for pain control in total joint arthroplasty.</w:t>
      </w:r>
      <w:r>
        <w:t xml:space="preserve"> </w:t>
      </w:r>
      <w:r>
        <w:rPr>
          <w:iCs/>
          <w:i/>
        </w:rPr>
        <w:t xml:space="preserve">Medicine</w:t>
      </w:r>
      <w:r>
        <w:t xml:space="preserve">. 2017;96(24):e7126. doi:</w:t>
      </w:r>
      <w:hyperlink r:id="rId74">
        <w:r>
          <w:rPr>
            <w:rStyle w:val="Hyperlink"/>
          </w:rPr>
          <w:t xml:space="preserve">10.1097/md.0000000000007126</w:t>
        </w:r>
      </w:hyperlink>
    </w:p>
    <w:bookmarkEnd w:id="75"/>
    <w:bookmarkStart w:id="76" w:name="ref-mohammad2018perioperative"/>
    <w:p>
      <w:pPr>
        <w:pStyle w:val="Bibliography"/>
      </w:pPr>
      <w:r>
        <w:t xml:space="preserve">13.</w:t>
      </w:r>
      <w:r>
        <w:t xml:space="preserve"> </w:t>
      </w:r>
      <w:r>
        <w:t xml:space="preserve">	</w:t>
      </w:r>
      <w:r>
        <w:t xml:space="preserve">Mohammad HR, Hamilton TW, Strickland L, Trivella M, Murray D, Pandit H. Perioperative adjuvant corticosteroids for postoperative analgesia in knee arthroplasty: A meta-analysis of 1,396 knees.</w:t>
      </w:r>
      <w:r>
        <w:t xml:space="preserve"> </w:t>
      </w:r>
      <w:r>
        <w:rPr>
          <w:iCs/>
          <w:i/>
        </w:rPr>
        <w:t xml:space="preserve">Acta orthopaedica</w:t>
      </w:r>
      <w:r>
        <w:t xml:space="preserve">. 2018;89(1):71-76.</w:t>
      </w:r>
    </w:p>
    <w:bookmarkEnd w:id="76"/>
    <w:bookmarkStart w:id="78" w:name="ref-hannon2022"/>
    <w:p>
      <w:pPr>
        <w:pStyle w:val="Bibliography"/>
      </w:pPr>
      <w:r>
        <w:t xml:space="preserve">14.</w:t>
      </w:r>
      <w:r>
        <w:t xml:space="preserve"> </w:t>
      </w:r>
      <w:r>
        <w:t xml:space="preserve">	</w:t>
      </w:r>
      <w:r>
        <w:t xml:space="preserve">Hannon CP, Fillingham YA, Mason JB, et al. The Efficacy and Safety of Corticosteroids in Total Joint Arthroplasty: A Direct Meta-Analysis.</w:t>
      </w:r>
      <w:r>
        <w:t xml:space="preserve"> </w:t>
      </w:r>
      <w:r>
        <w:rPr>
          <w:iCs/>
          <w:i/>
        </w:rPr>
        <w:t xml:space="preserve">The Journal of Arthroplasty</w:t>
      </w:r>
      <w:r>
        <w:t xml:space="preserve">. 2022;37(10):1898-1905.e7. doi:</w:t>
      </w:r>
      <w:hyperlink r:id="rId77">
        <w:r>
          <w:rPr>
            <w:rStyle w:val="Hyperlink"/>
          </w:rPr>
          <w:t xml:space="preserve">10.1016/j.arth.2022.03.084</w:t>
        </w:r>
      </w:hyperlink>
    </w:p>
    <w:bookmarkEnd w:id="78"/>
    <w:bookmarkStart w:id="80" w:name="ref-lunn2011"/>
    <w:p>
      <w:pPr>
        <w:pStyle w:val="Bibliography"/>
      </w:pPr>
      <w:r>
        <w:t xml:space="preserve">15.</w:t>
      </w:r>
      <w:r>
        <w:t xml:space="preserve"> </w:t>
      </w:r>
      <w:r>
        <w:t xml:space="preserve">	</w:t>
      </w:r>
      <w:r>
        <w:t xml:space="preserve">Lunn TH, Kristensen BB, Andersen LØ, et al. Effect of high-dose preoperative methylprednisolone on pain and recovery after total knee arthroplasty: a randomized, placebo-controlled trial.</w:t>
      </w:r>
      <w:r>
        <w:t xml:space="preserve"> </w:t>
      </w:r>
      <w:r>
        <w:rPr>
          <w:iCs/>
          <w:i/>
        </w:rPr>
        <w:t xml:space="preserve">British Journal of Anaesthesia</w:t>
      </w:r>
      <w:r>
        <w:t xml:space="preserve">. 2011;106(2):230-238. doi:</w:t>
      </w:r>
      <w:hyperlink r:id="rId79">
        <w:r>
          <w:rPr>
            <w:rStyle w:val="Hyperlink"/>
          </w:rPr>
          <w:t xml:space="preserve">10.1093/bja/aeq333</w:t>
        </w:r>
      </w:hyperlink>
    </w:p>
    <w:bookmarkEnd w:id="80"/>
    <w:bookmarkStart w:id="82" w:name="ref-nielsen2022"/>
    <w:p>
      <w:pPr>
        <w:pStyle w:val="Bibliography"/>
      </w:pPr>
      <w:r>
        <w:t xml:space="preserve">16.</w:t>
      </w:r>
      <w:r>
        <w:t xml:space="preserve"> </w:t>
      </w:r>
      <w:r>
        <w:t xml:space="preserve">	</w:t>
      </w:r>
      <w:r>
        <w:t xml:space="preserve">Nielsen NI, Kehlet H, Gromov K, et al. High-dose steroids in high pain responders undergoing total knee arthroplasty: a randomised double-blind trial.</w:t>
      </w:r>
      <w:r>
        <w:t xml:space="preserve"> </w:t>
      </w:r>
      <w:r>
        <w:rPr>
          <w:iCs/>
          <w:i/>
        </w:rPr>
        <w:t xml:space="preserve">British Journal of Anaesthesia</w:t>
      </w:r>
      <w:r>
        <w:t xml:space="preserve">. 2022;128(1):150-158. doi:</w:t>
      </w:r>
      <w:hyperlink r:id="rId81">
        <w:r>
          <w:rPr>
            <w:rStyle w:val="Hyperlink"/>
          </w:rPr>
          <w:t xml:space="preserve">10.1016/j.bja.2021.10.001</w:t>
        </w:r>
      </w:hyperlink>
    </w:p>
    <w:bookmarkEnd w:id="82"/>
    <w:bookmarkStart w:id="84" w:name="ref-toner2017"/>
    <w:p>
      <w:pPr>
        <w:pStyle w:val="Bibliography"/>
      </w:pPr>
      <w:r>
        <w:t xml:space="preserve">17.</w:t>
      </w:r>
      <w:r>
        <w:t xml:space="preserve"> </w:t>
      </w:r>
      <w:r>
        <w:t xml:space="preserve">	</w:t>
      </w:r>
      <w:r>
        <w:t xml:space="preserve">Toner AJ, Ganeshanathan V, Chan MT, Ho KM, Corcoran TB. Safety of Perioperative Glucocorticoids in Elective Noncardiac Surgery.</w:t>
      </w:r>
      <w:r>
        <w:t xml:space="preserve"> </w:t>
      </w:r>
      <w:r>
        <w:rPr>
          <w:iCs/>
          <w:i/>
        </w:rPr>
        <w:t xml:space="preserve">Anesthesiology</w:t>
      </w:r>
      <w:r>
        <w:t xml:space="preserve">. 2017;126(2):234-248. doi:</w:t>
      </w:r>
      <w:hyperlink r:id="rId83">
        <w:r>
          <w:rPr>
            <w:rStyle w:val="Hyperlink"/>
          </w:rPr>
          <w:t xml:space="preserve">10.1097/aln.0000000000001466</w:t>
        </w:r>
      </w:hyperlink>
    </w:p>
    <w:bookmarkEnd w:id="84"/>
    <w:bookmarkStart w:id="86" w:name="ref-hah2017"/>
    <w:p>
      <w:pPr>
        <w:pStyle w:val="Bibliography"/>
      </w:pPr>
      <w:r>
        <w:t xml:space="preserve">18.</w:t>
      </w:r>
      <w:r>
        <w:t xml:space="preserve"> </w:t>
      </w:r>
      <w:r>
        <w:t xml:space="preserve">	</w:t>
      </w:r>
      <w:r>
        <w:t xml:space="preserve">Hah JM, Bateman BT, Ratliff J, Curtin C, Sun E. Chronic Opioid Use After Surgery: Implications for Perioperative Management in the Face of the Opioid Epidemic.</w:t>
      </w:r>
      <w:r>
        <w:t xml:space="preserve"> </w:t>
      </w:r>
      <w:r>
        <w:rPr>
          <w:iCs/>
          <w:i/>
        </w:rPr>
        <w:t xml:space="preserve">Anesthesia &amp; Analgesia</w:t>
      </w:r>
      <w:r>
        <w:t xml:space="preserve">. 2017;125(5):1733-1740. doi:</w:t>
      </w:r>
      <w:hyperlink r:id="rId85">
        <w:r>
          <w:rPr>
            <w:rStyle w:val="Hyperlink"/>
          </w:rPr>
          <w:t xml:space="preserve">10.1213/ane.0000000000002458</w:t>
        </w:r>
      </w:hyperlink>
    </w:p>
    <w:bookmarkEnd w:id="86"/>
    <w:bookmarkStart w:id="88" w:name="ref-chan2020"/>
    <w:p>
      <w:pPr>
        <w:pStyle w:val="Bibliography"/>
      </w:pPr>
      <w:r>
        <w:t xml:space="preserve">19.</w:t>
      </w:r>
      <w:r>
        <w:t xml:space="preserve"> </w:t>
      </w:r>
      <w:r>
        <w:t xml:space="preserve">	</w:t>
      </w:r>
      <w:r>
        <w:t xml:space="preserve">Chan TCW, Cheung CW, Wong SSC, et al. Preoperative dexamethasone for pain relief after total knee arthroplasty.</w:t>
      </w:r>
      <w:r>
        <w:t xml:space="preserve"> </w:t>
      </w:r>
      <w:r>
        <w:rPr>
          <w:iCs/>
          <w:i/>
        </w:rPr>
        <w:t xml:space="preserve">European Journal of Anaesthesiology</w:t>
      </w:r>
      <w:r>
        <w:t xml:space="preserve">. 2020;37(12):1157-1167. doi:</w:t>
      </w:r>
      <w:hyperlink r:id="rId87">
        <w:r>
          <w:rPr>
            <w:rStyle w:val="Hyperlink"/>
          </w:rPr>
          <w:t xml:space="preserve">10.1097/eja.0000000000001372</w:t>
        </w:r>
      </w:hyperlink>
    </w:p>
    <w:bookmarkEnd w:id="88"/>
    <w:bookmarkStart w:id="90" w:name="ref-suh2021"/>
    <w:p>
      <w:pPr>
        <w:pStyle w:val="Bibliography"/>
      </w:pPr>
      <w:r>
        <w:t xml:space="preserve">20.</w:t>
      </w:r>
      <w:r>
        <w:t xml:space="preserve"> </w:t>
      </w:r>
      <w:r>
        <w:t xml:space="preserve">	</w:t>
      </w:r>
      <w:r>
        <w:t xml:space="preserve">Suh J, Liow MHL, Pua YH, et al. Early postoperative straight leg raise is associated with shorter length of stay after unilateral total knee arthroplasty.</w:t>
      </w:r>
      <w:r>
        <w:t xml:space="preserve"> </w:t>
      </w:r>
      <w:r>
        <w:rPr>
          <w:iCs/>
          <w:i/>
        </w:rPr>
        <w:t xml:space="preserve">Journal of Orthopaedic Surgery</w:t>
      </w:r>
      <w:r>
        <w:t xml:space="preserve">. 2021;29(1):230949902110022. doi:</w:t>
      </w:r>
      <w:hyperlink r:id="rId89">
        <w:r>
          <w:rPr>
            <w:rStyle w:val="Hyperlink"/>
          </w:rPr>
          <w:t xml:space="preserve">10.1177/23094990211002294</w:t>
        </w:r>
      </w:hyperlink>
    </w:p>
    <w:bookmarkEnd w:id="90"/>
    <w:bookmarkStart w:id="91" w:name="ref-никитина2022разработка"/>
    <w:p>
      <w:pPr>
        <w:pStyle w:val="Bibliography"/>
      </w:pPr>
      <w:r>
        <w:t xml:space="preserve">21.</w:t>
      </w:r>
      <w:r>
        <w:t xml:space="preserve"> </w:t>
      </w:r>
      <w:r>
        <w:t xml:space="preserve">	</w:t>
      </w:r>
      <w:r>
        <w:t xml:space="preserve">Никитина ТП, Куликов А, Мишина А, Сидоров Д, Ионова Т, Ефремов С. Разработка и апробация русской версии опросника оценки качества восстановления пациента после анестезии-QoR-40 и его краткой формы-QoR-15.</w:t>
      </w:r>
      <w:r>
        <w:t xml:space="preserve"> </w:t>
      </w:r>
      <w:r>
        <w:rPr>
          <w:iCs/>
          <w:i/>
        </w:rPr>
        <w:t xml:space="preserve">Вестник интенсивной терапии имени АИ Салтанова</w:t>
      </w:r>
      <w:r>
        <w:t xml:space="preserve">. 2022;(2):132-142.</w:t>
      </w:r>
    </w:p>
    <w:bookmarkEnd w:id="91"/>
    <w:bookmarkStart w:id="92" w:name="ref-radchikova2020russian"/>
    <w:p>
      <w:pPr>
        <w:pStyle w:val="Bibliography"/>
      </w:pPr>
      <w:r>
        <w:t xml:space="preserve">22.</w:t>
      </w:r>
      <w:r>
        <w:t xml:space="preserve"> </w:t>
      </w:r>
      <w:r>
        <w:t xml:space="preserve">	</w:t>
      </w:r>
      <w:r>
        <w:t xml:space="preserve">Radchikova N, Adashiskaya G, Sanoyan T, Shupta A. Russian adaptation of the pain catastrophizing scale.</w:t>
      </w:r>
      <w:r>
        <w:t xml:space="preserve"> </w:t>
      </w:r>
      <w:r>
        <w:rPr>
          <w:iCs/>
          <w:i/>
        </w:rPr>
        <w:t xml:space="preserve">Clin Psychol Special Educ</w:t>
      </w:r>
      <w:r>
        <w:t xml:space="preserve">. 2020;9(4):169-187.</w:t>
      </w:r>
    </w:p>
    <w:bookmarkEnd w:id="92"/>
    <w:bookmarkStart w:id="93" w:name="ref-shadyab2018prospective"/>
    <w:p>
      <w:pPr>
        <w:pStyle w:val="Bibliography"/>
      </w:pPr>
      <w:r>
        <w:t xml:space="preserve">23.</w:t>
      </w:r>
      <w:r>
        <w:t xml:space="preserve"> </w:t>
      </w:r>
      <w:r>
        <w:t xml:space="preserve">	</w:t>
      </w:r>
      <w:r>
        <w:t xml:space="preserve">Shadyab AH, Terkeltaub R, Kooperberg C, et al. Prospective associations of c-reactive protein (CRP) levels and CRP genetic risk scores with risk of total knee and hip replacement for osteoarthritis in a diverse cohort.</w:t>
      </w:r>
      <w:r>
        <w:t xml:space="preserve"> </w:t>
      </w:r>
      <w:r>
        <w:rPr>
          <w:iCs/>
          <w:i/>
        </w:rPr>
        <w:t xml:space="preserve">Osteoarthritis and cartilage</w:t>
      </w:r>
      <w:r>
        <w:t xml:space="preserve">. 2018;26(8):1038-1044.</w:t>
      </w:r>
    </w:p>
    <w:bookmarkEnd w:id="93"/>
    <w:bookmarkStart w:id="94" w:name="ref-walkenbach2010excel"/>
    <w:p>
      <w:pPr>
        <w:pStyle w:val="Bibliography"/>
      </w:pPr>
      <w:r>
        <w:t xml:space="preserve">24.</w:t>
      </w:r>
      <w:r>
        <w:t xml:space="preserve"> </w:t>
      </w:r>
      <w:r>
        <w:t xml:space="preserve">	</w:t>
      </w:r>
      <w:r>
        <w:t xml:space="preserve">Walkenbach J.</w:t>
      </w:r>
      <w:r>
        <w:t xml:space="preserve"> </w:t>
      </w:r>
      <w:r>
        <w:rPr>
          <w:iCs/>
          <w:i/>
        </w:rPr>
        <w:t xml:space="preserve">Excel 2010 Power Programming with VBA</w:t>
      </w:r>
      <w:r>
        <w:t xml:space="preserve">. Vol 6. John Wiley &amp; Sons; 2010.</w:t>
      </w:r>
    </w:p>
    <w:bookmarkEnd w:id="94"/>
    <w:bookmarkStart w:id="95" w:name="ref-de2007applied"/>
    <w:p>
      <w:pPr>
        <w:pStyle w:val="Bibliography"/>
      </w:pPr>
      <w:r>
        <w:t xml:space="preserve">25.</w:t>
      </w:r>
      <w:r>
        <w:t xml:space="preserve"> </w:t>
      </w:r>
      <w:r>
        <w:t xml:space="preserve">	</w:t>
      </w:r>
      <w:r>
        <w:t xml:space="preserve">De Sá JPM.</w:t>
      </w:r>
      <w:r>
        <w:t xml:space="preserve"> </w:t>
      </w:r>
      <w:r>
        <w:rPr>
          <w:iCs/>
          <w:i/>
        </w:rPr>
        <w:t xml:space="preserve">Applied Statistics Using SPSS, Statistica, MatLab and r</w:t>
      </w:r>
      <w:r>
        <w:t xml:space="preserve">. Springer Science &amp; Business Media; 2007.</w:t>
      </w:r>
    </w:p>
    <w:bookmarkEnd w:id="95"/>
    <w:bookmarkStart w:id="96" w:name="ref-bensken2021basicP1"/>
    <w:p>
      <w:pPr>
        <w:pStyle w:val="Bibliography"/>
      </w:pPr>
      <w:r>
        <w:t xml:space="preserve">26.</w:t>
      </w:r>
      <w:r>
        <w:t xml:space="preserve"> </w:t>
      </w:r>
      <w:r>
        <w:t xml:space="preserve">	</w:t>
      </w:r>
      <w:r>
        <w:t xml:space="preserve">Bensken WP, Pieracci FM, Ho VP. Basic introduction to statistics in medicine, part 1: Describing data.</w:t>
      </w:r>
      <w:r>
        <w:t xml:space="preserve"> </w:t>
      </w:r>
      <w:r>
        <w:rPr>
          <w:iCs/>
          <w:i/>
        </w:rPr>
        <w:t xml:space="preserve">Surgical Infections</w:t>
      </w:r>
      <w:r>
        <w:t xml:space="preserve">. 2021;22(6):590-596.</w:t>
      </w:r>
    </w:p>
    <w:bookmarkEnd w:id="96"/>
    <w:bookmarkStart w:id="97" w:name="ref-bensken2021basicP2"/>
    <w:p>
      <w:pPr>
        <w:pStyle w:val="Bibliography"/>
      </w:pPr>
      <w:r>
        <w:t xml:space="preserve">27.</w:t>
      </w:r>
      <w:r>
        <w:t xml:space="preserve"> </w:t>
      </w:r>
      <w:r>
        <w:t xml:space="preserve">	</w:t>
      </w:r>
      <w:r>
        <w:t xml:space="preserve">Bensken WP, Ho VP, Pieracci FM. Basic introduction to statistics in medicine, part 2: Comparing data.</w:t>
      </w:r>
      <w:r>
        <w:t xml:space="preserve"> </w:t>
      </w:r>
      <w:r>
        <w:rPr>
          <w:iCs/>
          <w:i/>
        </w:rPr>
        <w:t xml:space="preserve">Surgical Infections</w:t>
      </w:r>
      <w:r>
        <w:t xml:space="preserve">. 2021;22(6):597-603.</w:t>
      </w:r>
    </w:p>
    <w:bookmarkEnd w:id="97"/>
    <w:bookmarkEnd w:id="98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45" Target="media/rId45.png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hyperlink" Id="rId77" Target="https://doi.org/10.1016/j.arth.2022.03.084" TargetMode="External" /><Relationship Type="http://schemas.openxmlformats.org/officeDocument/2006/relationships/hyperlink" Id="rId81" Target="https://doi.org/10.1016/j.bja.2021.10.001" TargetMode="External" /><Relationship Type="http://schemas.openxmlformats.org/officeDocument/2006/relationships/hyperlink" Id="rId70" Target="https://doi.org/10.1016/j.ijsu.2018.02.043" TargetMode="External" /><Relationship Type="http://schemas.openxmlformats.org/officeDocument/2006/relationships/hyperlink" Id="rId53" Target="https://doi.org/10.1016/s0140-6736(18)32344-4" TargetMode="External" /><Relationship Type="http://schemas.openxmlformats.org/officeDocument/2006/relationships/hyperlink" Id="rId58" Target="https://doi.org/10.1038/s41598-020-77127-6" TargetMode="External" /><Relationship Type="http://schemas.openxmlformats.org/officeDocument/2006/relationships/hyperlink" Id="rId79" Target="https://doi.org/10.1093/bja/aeq333" TargetMode="External" /><Relationship Type="http://schemas.openxmlformats.org/officeDocument/2006/relationships/hyperlink" Id="rId56" Target="https://doi.org/10.1093/bja/aev257" TargetMode="External" /><Relationship Type="http://schemas.openxmlformats.org/officeDocument/2006/relationships/hyperlink" Id="rId68" Target="https://doi.org/10.1097/01.sla.0000094390.82352.cb" TargetMode="External" /><Relationship Type="http://schemas.openxmlformats.org/officeDocument/2006/relationships/hyperlink" Id="rId83" Target="https://doi.org/10.1097/aln.0000000000001466" TargetMode="External" /><Relationship Type="http://schemas.openxmlformats.org/officeDocument/2006/relationships/hyperlink" Id="rId60" Target="https://doi.org/10.1097/aln.0000000000001992" TargetMode="External" /><Relationship Type="http://schemas.openxmlformats.org/officeDocument/2006/relationships/hyperlink" Id="rId87" Target="https://doi.org/10.1097/eja.0000000000001372" TargetMode="External" /><Relationship Type="http://schemas.openxmlformats.org/officeDocument/2006/relationships/hyperlink" Id="rId74" Target="https://doi.org/10.1097/md.0000000000007126" TargetMode="External" /><Relationship Type="http://schemas.openxmlformats.org/officeDocument/2006/relationships/hyperlink" Id="rId72" Target="https://doi.org/10.1097/md.0000000000007836" TargetMode="External" /><Relationship Type="http://schemas.openxmlformats.org/officeDocument/2006/relationships/hyperlink" Id="rId66" Target="https://doi.org/10.1111/j.1399-6576.2004.00480.x" TargetMode="External" /><Relationship Type="http://schemas.openxmlformats.org/officeDocument/2006/relationships/hyperlink" Id="rId89" Target="https://doi.org/10.1177/23094990211002294" TargetMode="External" /><Relationship Type="http://schemas.openxmlformats.org/officeDocument/2006/relationships/hyperlink" Id="rId64" Target="https://doi.org/10.1213/01.ane.0000267261.61444.69" TargetMode="External" /><Relationship Type="http://schemas.openxmlformats.org/officeDocument/2006/relationships/hyperlink" Id="rId85" Target="https://doi.org/10.1213/ane.0000000000002458" TargetMode="External" /><Relationship Type="http://schemas.openxmlformats.org/officeDocument/2006/relationships/hyperlink" Id="rId62" Target="https://doi.org/10.2106/jbjs.d.0301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7" Target="https://doi.org/10.1016/j.arth.2022.03.084" TargetMode="External" /><Relationship Type="http://schemas.openxmlformats.org/officeDocument/2006/relationships/hyperlink" Id="rId81" Target="https://doi.org/10.1016/j.bja.2021.10.001" TargetMode="External" /><Relationship Type="http://schemas.openxmlformats.org/officeDocument/2006/relationships/hyperlink" Id="rId70" Target="https://doi.org/10.1016/j.ijsu.2018.02.043" TargetMode="External" /><Relationship Type="http://schemas.openxmlformats.org/officeDocument/2006/relationships/hyperlink" Id="rId53" Target="https://doi.org/10.1016/s0140-6736(18)32344-4" TargetMode="External" /><Relationship Type="http://schemas.openxmlformats.org/officeDocument/2006/relationships/hyperlink" Id="rId58" Target="https://doi.org/10.1038/s41598-020-77127-6" TargetMode="External" /><Relationship Type="http://schemas.openxmlformats.org/officeDocument/2006/relationships/hyperlink" Id="rId79" Target="https://doi.org/10.1093/bja/aeq333" TargetMode="External" /><Relationship Type="http://schemas.openxmlformats.org/officeDocument/2006/relationships/hyperlink" Id="rId56" Target="https://doi.org/10.1093/bja/aev257" TargetMode="External" /><Relationship Type="http://schemas.openxmlformats.org/officeDocument/2006/relationships/hyperlink" Id="rId68" Target="https://doi.org/10.1097/01.sla.0000094390.82352.cb" TargetMode="External" /><Relationship Type="http://schemas.openxmlformats.org/officeDocument/2006/relationships/hyperlink" Id="rId83" Target="https://doi.org/10.1097/aln.0000000000001466" TargetMode="External" /><Relationship Type="http://schemas.openxmlformats.org/officeDocument/2006/relationships/hyperlink" Id="rId60" Target="https://doi.org/10.1097/aln.0000000000001992" TargetMode="External" /><Relationship Type="http://schemas.openxmlformats.org/officeDocument/2006/relationships/hyperlink" Id="rId87" Target="https://doi.org/10.1097/eja.0000000000001372" TargetMode="External" /><Relationship Type="http://schemas.openxmlformats.org/officeDocument/2006/relationships/hyperlink" Id="rId74" Target="https://doi.org/10.1097/md.0000000000007126" TargetMode="External" /><Relationship Type="http://schemas.openxmlformats.org/officeDocument/2006/relationships/hyperlink" Id="rId72" Target="https://doi.org/10.1097/md.0000000000007836" TargetMode="External" /><Relationship Type="http://schemas.openxmlformats.org/officeDocument/2006/relationships/hyperlink" Id="rId66" Target="https://doi.org/10.1111/j.1399-6576.2004.00480.x" TargetMode="External" /><Relationship Type="http://schemas.openxmlformats.org/officeDocument/2006/relationships/hyperlink" Id="rId89" Target="https://doi.org/10.1177/23094990211002294" TargetMode="External" /><Relationship Type="http://schemas.openxmlformats.org/officeDocument/2006/relationships/hyperlink" Id="rId64" Target="https://doi.org/10.1213/01.ane.0000267261.61444.69" TargetMode="External" /><Relationship Type="http://schemas.openxmlformats.org/officeDocument/2006/relationships/hyperlink" Id="rId85" Target="https://doi.org/10.1213/ane.0000000000002458" TargetMode="External" /><Relationship Type="http://schemas.openxmlformats.org/officeDocument/2006/relationships/hyperlink" Id="rId62" Target="https://doi.org/10.2106/jbjs.d.0301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dexamethasone</dc:title>
  <dc:creator>AndreyPovaliy</dc:creator>
  <cp:keywords/>
  <dcterms:created xsi:type="dcterms:W3CDTF">2024-01-25T08:43:43Z</dcterms:created>
  <dcterms:modified xsi:type="dcterms:W3CDTF">2024-01-25T08:43:43Z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references_dex.bib</vt:lpwstr>
  </property>
  <property fmtid="{D5CDD505-2E9C-101B-9397-08002B2CF9AE}" pid="3" name="csl">
    <vt:lpwstr>american-medical-association-brackets.csl</vt:lpwstr>
  </property>
  <property fmtid="{D5CDD505-2E9C-101B-9397-08002B2CF9AE}" pid="4" name="date">
    <vt:lpwstr>2023-11-29</vt:lpwstr>
  </property>
  <property fmtid="{D5CDD505-2E9C-101B-9397-08002B2CF9AE}" pid="5" name="output">
    <vt:lpwstr>word_document</vt:lpwstr>
  </property>
</Properties>
</file>