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/>
      </w:pPr>
    </w:p>
    <w:p w14:paraId="00000002">
      <w:pPr>
        <w:rPr>
          <w:lang w:val="ru-RU"/>
        </w:rPr>
      </w:pPr>
      <w:r>
        <w:rPr>
          <w:lang w:val="ru-RU"/>
        </w:rPr>
        <w:t>| Клиент | Цель | Результат | Ближайший шаг и дата | Потребности | Риски | Ошибки менеджера |</w:t>
      </w:r>
    </w:p>
    <w:p w14:paraId="00000003">
      <w:pPr>
        <w:rPr>
          <w:lang w:val="ru-RU"/>
        </w:rPr>
      </w:pPr>
      <w:r>
        <w:rPr>
          <w:lang w:val="ru-RU"/>
        </w:rPr>
        <w:t>| :--- | :--- | :--- | :--- | :--- | :--- | :--- |</w:t>
      </w:r>
    </w:p>
    <w:p w14:paraId="00000004">
      <w:pPr>
        <w:rPr>
          <w:lang w:val="ru-RU"/>
        </w:rPr>
      </w:pPr>
      <w:r>
        <w:rPr>
          <w:lang w:val="ru-RU"/>
        </w:rPr>
        <w:t>| **Альфа-Металл** | Переход на ЭДО (акты) | Договоренность о тех. встрече | Тех. встреча: 10 сентября 2026, 15:00 (Екб) | Интеграция с доработанной 1С:УПП; схема хранения данных для СБ; расчет ROI (экономия времени/ошибок). | Сильная кастомизация 1С (риск несовместимости); вето службы безопасности на облака. | Преждевременная попытка предложить коммерческое предложение (КП) до тех. валидации. |</w:t>
      </w:r>
    </w:p>
    <w:p w14:paraId="00000005">
      <w:pPr>
        <w:rPr>
          <w:lang w:val="ru-RU"/>
        </w:rPr>
      </w:pPr>
      <w:r>
        <w:rPr>
          <w:lang w:val="ru-RU"/>
        </w:rPr>
        <w:t>| **Зелёная Полка** | Внедрение маркировки до 01.11 | Согласование плана запуска и запроса данных | 9 сентября (список данных), 14 сентября (расчет и план запуска) | Схема запуска (аудит, тест, обучение); охват склада и касс; бюджет до 160 тыс. руб. | Конкурент с ценой 120 тыс. руб.; жесткий дедлайн (1 ноября); негативный опыт с прошлым подрядчиком. | Транзакционный подход; расплывчатая цена («около»); игнорирование просьбы клиента сначала разобраться в процессах. |</w:t>
      </w:r>
    </w:p>
    <w:p w14:paraId="00000006">
      <w:pPr>
        <w:rPr>
          <w:lang w:val="ru-RU"/>
        </w:rPr>
      </w:pPr>
      <w:r>
        <w:rPr>
          <w:lang w:val="ru-RU"/>
        </w:rPr>
        <w:t>| **СтройКомплект** | Контроль отдела продаж | Согласие на пилот (анализ 10 записей) | Звонок по статусу NDA: 11 сентября 2026, 11:30 | Мониторинг звонков/WA без миграции из Битрикс24; автоматическая сводка «проблемных» звонков; российский контур данных. | Использование зарубежного облака (стоп-фактор); задержка согласования NDA юристом. | Попытка навязать смену CRM, когда проблема в дисциплине; игнорирование сроков работы юристов клиента. |</w:t>
      </w:r>
    </w:p>
    <w:p w14:paraId="00000007">
      <w:r>
        <w:rPr>
          <w:lang w:val="ru-RU"/>
        </w:rPr>
        <w:t>| **Север-Транс** | Электронная подпись и отчетность | Сделка отложена до января 2027 | Звонок: после 20 января 2027; рассылка сравнения: декабрь 2026 | Механика переноса архива; поддержка МЧД; круглосуточная поддержка; отсутствие сбоев в отчетный период. | Высокий риск потери лояльности из-за давления; продление договора с текущим оператором в декабре. | Попытка решить проблему сроков скидкой; агрессивное давление с предложением подписать договор сейчас. |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андрей</cp:lastModifiedBy>
</cp:coreProperties>
</file>