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7D740" w14:textId="62B2E88C" w:rsidR="003010E2" w:rsidRPr="003010E2" w:rsidRDefault="003010E2" w:rsidP="003010E2">
      <w:pPr>
        <w:pStyle w:val="Heading1"/>
        <w:jc w:val="both"/>
        <w:rPr>
          <w:rFonts w:ascii="Arial" w:hAnsi="Arial" w:cs="Arial"/>
        </w:rPr>
      </w:pPr>
      <w:r w:rsidRPr="003D66CD">
        <w:rPr>
          <w:rFonts w:ascii="Arial" w:hAnsi="Arial" w:cs="Arial"/>
        </w:rPr>
        <w:t>Lab 4</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created reports with VanArsdel's US and International sales data using Power BI Desktop. Now it's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up-to-date.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77777777" w:rsidR="003010E2" w:rsidRPr="003D66CD" w:rsidRDefault="003010E2" w:rsidP="003010E2">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You can rename both of these,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and explore your published report. It looks similar to the one in Power BI Desktop file. Now you can start creating a dashboard by pinning some visualizations.</w:t>
      </w:r>
    </w:p>
    <w:p w14:paraId="6D774E13"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tab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Pr="003D66CD">
        <w:rPr>
          <w:rStyle w:val="Strong"/>
          <w:rFonts w:ascii="Arial" w:hAnsi="Arial" w:cs="Arial"/>
          <w:color w:val="313131"/>
        </w:rPr>
        <w:t>New dashboard</w:t>
      </w:r>
      <w:r w:rsidRPr="003D66CD">
        <w:rPr>
          <w:rFonts w:ascii="Arial" w:hAnsi="Arial" w:cs="Arial"/>
          <w:color w:val="313131"/>
        </w:rPr>
        <w:t> and name it </w:t>
      </w:r>
      <w:r w:rsidRPr="003D66CD">
        <w:rPr>
          <w:rStyle w:val="Strong"/>
          <w:rFonts w:ascii="Arial" w:hAnsi="Arial" w:cs="Arial"/>
          <w:color w:val="313131"/>
        </w:rPr>
        <w:t>VanArsdel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Pin the treemap chart, the scatter chart, and the map visualization to the </w:t>
      </w:r>
      <w:r w:rsidRPr="003D66CD">
        <w:rPr>
          <w:rStyle w:val="Strong"/>
          <w:rFonts w:ascii="Arial" w:hAnsi="Arial" w:cs="Arial"/>
          <w:color w:val="313131"/>
        </w:rPr>
        <w:t>VanArsdel Sales</w:t>
      </w:r>
      <w:r w:rsidRPr="003D66CD">
        <w:rPr>
          <w:rFonts w:ascii="Arial" w:hAnsi="Arial" w:cs="Arial"/>
          <w:color w:val="313131"/>
        </w:rPr>
        <w:t> dashboard.</w:t>
      </w:r>
    </w:p>
    <w:p w14:paraId="038FED75"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tab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VanArsdel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Resize and arrange the tiles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1DFFD893"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7B2435D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3733AE3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You want to pin existing visualizations from a report to a dashboard. What two scenarios can you do when pinning visualizations?</w:t>
      </w:r>
    </w:p>
    <w:p w14:paraId="54B0284F" w14:textId="2823350B"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8pt" o:ole="">
            <v:imagedata r:id="rId8" o:title=""/>
          </v:shape>
          <w:control r:id="rId9" w:name="DefaultOcxName28" w:shapeid="_x0000_i1082"/>
        </w:object>
      </w:r>
      <w:r w:rsidRPr="003D66CD">
        <w:rPr>
          <w:rFonts w:ascii="Arial" w:hAnsi="Arial" w:cs="Arial"/>
          <w:color w:val="222222"/>
        </w:rPr>
        <w:t>You can pin multiple visualizations to a dashboard but you need to do it one at a time.</w:t>
      </w:r>
    </w:p>
    <w:p w14:paraId="050749DA" w14:textId="31880DA3"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lastRenderedPageBreak/>
        <w:object w:dxaOrig="225" w:dyaOrig="225" w14:anchorId="0798421B">
          <v:shape id="_x0000_i1080" type="#_x0000_t75" style="width:20.25pt;height:18pt" o:ole="">
            <v:imagedata r:id="rId8" o:title=""/>
          </v:shape>
          <w:control r:id="rId10" w:name="DefaultOcxName115" w:shapeid="_x0000_i1080"/>
        </w:object>
      </w:r>
      <w:r w:rsidRPr="003D66CD">
        <w:rPr>
          <w:rFonts w:ascii="Arial" w:hAnsi="Arial" w:cs="Arial"/>
          <w:color w:val="222222"/>
        </w:rPr>
        <w:t>You can pin two visualizations to a dashboard by pressing the CTRL key.</w:t>
      </w:r>
    </w:p>
    <w:p w14:paraId="03A8D9EF" w14:textId="121DCE8A"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72CB28A">
          <v:shape id="_x0000_i1083" type="#_x0000_t75" style="width:20.25pt;height:18pt" o:ole="">
            <v:imagedata r:id="rId8" o:title=""/>
          </v:shape>
          <w:control r:id="rId11" w:name="DefaultOcxName27" w:shapeid="_x0000_i1083"/>
        </w:object>
      </w:r>
      <w:r w:rsidRPr="003D66CD">
        <w:rPr>
          <w:rFonts w:ascii="Arial" w:hAnsi="Arial" w:cs="Arial"/>
          <w:color w:val="222222"/>
        </w:rPr>
        <w:t>You can pin the whole report page to a dashboard in one attempt by pinning a live page.</w:t>
      </w:r>
    </w:p>
    <w:p w14:paraId="7FBD5FF7" w14:textId="2A5846DE"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8CA42D6">
          <v:shape id="_x0000_i1078" type="#_x0000_t75" style="width:20.25pt;height:18pt" o:ole="">
            <v:imagedata r:id="rId8" o:title=""/>
          </v:shape>
          <w:control r:id="rId12" w:name="DefaultOcxName34" w:shapeid="_x0000_i1078"/>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645B53AC"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1EA5E406"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try the natural language query feature and create a few visualizations for your dashboard.</w:t>
      </w:r>
    </w:p>
    <w:p w14:paraId="5D297B4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sales"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 dashboard.</w:t>
      </w:r>
    </w:p>
    <w:p w14:paraId="0FB7F5E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total units"</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dashboard.</w:t>
      </w:r>
    </w:p>
    <w:p w14:paraId="599E8A0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product has the highest total sales in 2015"</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46FFD9C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Total Units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Color saturation</w:t>
      </w:r>
      <w:r w:rsidRPr="003D66CD">
        <w:rPr>
          <w:rFonts w:ascii="Arial" w:hAnsi="Arial" w:cs="Arial"/>
          <w:color w:val="313131"/>
        </w:rPr>
        <w:t>. Notice that the bar char color saturation changes according to the </w:t>
      </w:r>
      <w:r w:rsidRPr="003D66CD">
        <w:rPr>
          <w:rStyle w:val="Strong"/>
          <w:rFonts w:ascii="Arial" w:hAnsi="Arial" w:cs="Arial"/>
          <w:color w:val="313131"/>
        </w:rPr>
        <w:t>Total Units</w:t>
      </w:r>
      <w:r w:rsidRPr="003D66CD">
        <w:rPr>
          <w:rFonts w:ascii="Arial" w:hAnsi="Arial" w:cs="Arial"/>
          <w:color w:val="313131"/>
        </w:rPr>
        <w:t> for that product.</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Resize and arrange the tiles as necessary.</w:t>
      </w:r>
    </w:p>
    <w:p w14:paraId="1EEFFE3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You should have something similar to the below:</w:t>
      </w:r>
    </w:p>
    <w:p w14:paraId="77F903D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0C6249F7" wp14:editId="31BC48DF">
            <wp:extent cx="6152515" cy="3409315"/>
            <wp:effectExtent l="0" t="0" r="635" b="635"/>
            <wp:docPr id="26" name="Picture 26" descr="https://prod-edxapp.edx-cdn.org/assets/courseware/v1/130f01987dd3fa3ea3912b156dd7b036/asset-v1:Microsoft+DAT207x+1T2019+type@asset+block/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rod-edxapp.edx-cdn.org/assets/courseware/v1/130f01987dd3fa3ea3912b156dd7b036/asset-v1:Microsoft+DAT207x+1T2019+type@asset+block/La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409315"/>
                    </a:xfrm>
                    <a:prstGeom prst="rect">
                      <a:avLst/>
                    </a:prstGeom>
                    <a:noFill/>
                    <a:ln>
                      <a:noFill/>
                    </a:ln>
                  </pic:spPr>
                </pic:pic>
              </a:graphicData>
            </a:graphic>
          </wp:inline>
        </w:drawing>
      </w:r>
    </w:p>
    <w:p w14:paraId="2715F460"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104CDE9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00521C5"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Now try answering the following question by using the Q&amp;A. What is the total sales for Germany in 2014?</w:t>
      </w:r>
    </w:p>
    <w:p w14:paraId="0FED829F" w14:textId="4460431C"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272B208">
          <v:shape id="_x0000_i1085" type="#_x0000_t75" style="width:20.25pt;height:18pt" o:ole="">
            <v:imagedata r:id="rId14" o:title=""/>
          </v:shape>
          <w:control r:id="rId15" w:name="DefaultOcxName44" w:shapeid="_x0000_i1085"/>
        </w:object>
      </w:r>
      <w:r w:rsidRPr="003D66CD">
        <w:rPr>
          <w:rFonts w:ascii="Arial" w:hAnsi="Arial" w:cs="Arial"/>
          <w:color w:val="222222"/>
        </w:rPr>
        <w:t>$4,044,962.47</w:t>
      </w:r>
    </w:p>
    <w:p w14:paraId="25B8D193" w14:textId="25D8D4A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524AFC8">
          <v:shape id="_x0000_i1084" type="#_x0000_t75" style="width:20.25pt;height:18pt" o:ole="">
            <v:imagedata r:id="rId16" o:title=""/>
          </v:shape>
          <w:control r:id="rId17" w:name="DefaultOcxName54" w:shapeid="_x0000_i1084"/>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67DE0434"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783B16">
          <v:shape id="_x0000_i1075" type="#_x0000_t75" style="width:20.25pt;height:18pt" o:ole="">
            <v:imagedata r:id="rId16" o:title=""/>
          </v:shape>
          <w:control r:id="rId18" w:name="DefaultOcxName64" w:shapeid="_x0000_i1075"/>
        </w:object>
      </w:r>
      <w:r w:rsidRPr="003D66CD">
        <w:rPr>
          <w:rFonts w:ascii="Arial" w:hAnsi="Arial" w:cs="Arial"/>
          <w:color w:val="222222"/>
        </w:rPr>
        <w:t>$3,681,551.21</w:t>
      </w:r>
    </w:p>
    <w:p w14:paraId="20077AEF" w14:textId="7E040D89"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E7F9403">
          <v:shape id="_x0000_i1074" type="#_x0000_t75" style="width:20.25pt;height:18pt" o:ole="">
            <v:imagedata r:id="rId16" o:title=""/>
          </v:shape>
          <w:control r:id="rId19" w:name="DefaultOcxName73" w:shapeid="_x0000_i1074"/>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sharing your newly created dashboard. For simplicity, let's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VanArsdel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71158F65"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632B0EB3"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5DFD05B" w14:textId="0734197E"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 xml:space="preserve">Let's confirm that you received the </w:t>
      </w:r>
      <w:r w:rsidRPr="003D66CD">
        <w:rPr>
          <w:rFonts w:ascii="Arial" w:hAnsi="Arial" w:cs="Arial"/>
          <w:color w:val="222222"/>
        </w:rPr>
        <w:t>dashboard</w:t>
      </w:r>
      <w:r w:rsidRPr="003D66CD">
        <w:rPr>
          <w:rFonts w:ascii="Arial" w:hAnsi="Arial" w:cs="Arial"/>
          <w:color w:val="222222"/>
        </w:rPr>
        <w:t xml:space="preserve"> sharing invitation email. What is the sender's name?</w:t>
      </w:r>
    </w:p>
    <w:p w14:paraId="7648F90A" w14:textId="366038CA"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F5DE279">
          <v:shape id="_x0000_i1087" type="#_x0000_t75" style="width:20.25pt;height:18pt" o:ole="">
            <v:imagedata r:id="rId14" o:title=""/>
          </v:shape>
          <w:control r:id="rId20" w:name="DefaultOcxName30" w:shapeid="_x0000_i1087"/>
        </w:object>
      </w:r>
      <w:r w:rsidRPr="003D66CD">
        <w:rPr>
          <w:rFonts w:ascii="Arial" w:hAnsi="Arial" w:cs="Arial"/>
          <w:color w:val="222222"/>
        </w:rPr>
        <w:t>Microsoft Learning</w:t>
      </w:r>
    </w:p>
    <w:p w14:paraId="6886E77F" w14:textId="5FB1403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FC61C50">
          <v:shape id="_x0000_i1086" type="#_x0000_t75" style="width:20.25pt;height:18pt" o:ole="">
            <v:imagedata r:id="rId16" o:title=""/>
          </v:shape>
          <w:control r:id="rId21" w:name="DefaultOcxName116" w:shapeid="_x0000_i1086"/>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7D51D615"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E391988">
          <v:shape id="_x0000_i1071" type="#_x0000_t75" style="width:20.25pt;height:18pt" o:ole="">
            <v:imagedata r:id="rId16" o:title=""/>
          </v:shape>
          <w:control r:id="rId22" w:name="DefaultOcxName29" w:shapeid="_x0000_i1071"/>
        </w:object>
      </w:r>
      <w:r w:rsidRPr="003D66CD">
        <w:rPr>
          <w:rFonts w:ascii="Arial" w:hAnsi="Arial" w:cs="Arial"/>
          <w:color w:val="222222"/>
        </w:rPr>
        <w:t>Power BI Service</w:t>
      </w:r>
    </w:p>
    <w:p w14:paraId="3744063B" w14:textId="6773ABD8" w:rsidR="003010E2" w:rsidRPr="0051116E"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F954288">
          <v:shape id="_x0000_i1070" type="#_x0000_t75" style="width:20.25pt;height:18pt" o:ole="">
            <v:imagedata r:id="rId16" o:title=""/>
          </v:shape>
          <w:control r:id="rId23" w:name="DefaultOcxName35" w:shapeid="_x0000_i1070"/>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Once you've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"Lab 4 - Starting.pbix" file.</w:t>
      </w:r>
    </w:p>
    <w:p w14:paraId="7715788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tab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4EA08A36"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7FE32C07"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491D16C2"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6D18C3E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C264A3A">
          <v:shape id="_x0000_i1104" type="#_x0000_t75" style="width:20.25pt;height:18pt" o:ole="">
            <v:imagedata r:id="rId14" o:title=""/>
          </v:shape>
          <w:control r:id="rId24" w:name="DefaultOcxName45" w:shapeid="_x0000_i1104"/>
        </w:object>
      </w:r>
      <w:r w:rsidRPr="003D66CD">
        <w:rPr>
          <w:rFonts w:ascii="Arial" w:hAnsi="Arial" w:cs="Arial"/>
          <w:color w:val="222222"/>
        </w:rPr>
        <w:t>Yes</w:t>
      </w:r>
    </w:p>
    <w:p w14:paraId="7C0B8721" w14:textId="5F1B3A80"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3FA5F6D">
          <v:shape id="_x0000_i1103" type="#_x0000_t75" style="width:20.25pt;height:18pt" o:ole="">
            <v:imagedata r:id="rId16" o:title=""/>
          </v:shape>
          <w:control r:id="rId25"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up-to-date.</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Pro is required to setup scheduled refresh for on-premises data. If you do not have Power BI Pro subscription you can enroll for a 60 day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If you are using the starter file provided in the beginning of Lab 4, in order to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662F1464"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w:t>
      </w:r>
    </w:p>
    <w:p w14:paraId="372E2A5A"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11B995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Which two frequencies are available for scheduled refresh?</w:t>
      </w:r>
    </w:p>
    <w:p w14:paraId="1AD73005" w14:textId="39B6FD7A"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72B8F99">
          <v:shape id="_x0000_i1067" type="#_x0000_t75" style="width:20.25pt;height:18pt" o:ole="">
            <v:imagedata r:id="rId8" o:title=""/>
          </v:shape>
          <w:control r:id="rId26" w:name="DefaultOcxName37" w:shapeid="_x0000_i1067"/>
        </w:object>
      </w:r>
      <w:r w:rsidRPr="003D66CD">
        <w:rPr>
          <w:rFonts w:ascii="Arial" w:hAnsi="Arial" w:cs="Arial"/>
          <w:color w:val="222222"/>
        </w:rPr>
        <w:t>Hourly</w:t>
      </w:r>
    </w:p>
    <w:bookmarkStart w:id="0" w:name="_GoBack"/>
    <w:p w14:paraId="4C5A023D" w14:textId="2AAF6EC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D30A080">
          <v:shape id="_x0000_i1106" type="#_x0000_t75" style="width:20.25pt;height:18pt" o:ole="">
            <v:imagedata r:id="rId8" o:title=""/>
          </v:shape>
          <w:control r:id="rId27" w:name="DefaultOcxName117" w:shapeid="_x0000_i1106"/>
        </w:object>
      </w:r>
      <w:bookmarkEnd w:id="0"/>
      <w:r w:rsidRPr="003D66CD">
        <w:rPr>
          <w:rFonts w:ascii="Arial" w:hAnsi="Arial" w:cs="Arial"/>
          <w:color w:val="222222"/>
        </w:rPr>
        <w:t>Daily</w:t>
      </w:r>
    </w:p>
    <w:p w14:paraId="3414BC02" w14:textId="58C8F971"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D89FFA7">
          <v:shape id="_x0000_i1105" type="#_x0000_t75" style="width:20.25pt;height:18pt" o:ole="">
            <v:imagedata r:id="rId8" o:title=""/>
          </v:shape>
          <w:control r:id="rId28" w:name="DefaultOcxName210" w:shapeid="_x0000_i1105"/>
        </w:object>
      </w:r>
      <w:r w:rsidRPr="003D66CD">
        <w:rPr>
          <w:rFonts w:ascii="Arial" w:hAnsi="Arial" w:cs="Arial"/>
          <w:color w:val="222222"/>
        </w:rPr>
        <w:t>Weekly</w:t>
      </w:r>
    </w:p>
    <w:p w14:paraId="1A7D72CB" w14:textId="0D4CC18C"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2218980">
          <v:shape id="_x0000_i1064" type="#_x0000_t75" style="width:20.25pt;height:18pt" o:ole="">
            <v:imagedata r:id="rId8" o:title=""/>
          </v:shape>
          <w:control r:id="rId29" w:name="DefaultOcxName36" w:shapeid="_x0000_i1064"/>
        </w:object>
      </w:r>
      <w:r w:rsidRPr="003D66CD">
        <w:rPr>
          <w:rFonts w:ascii="Arial" w:hAnsi="Arial" w:cs="Arial"/>
          <w:color w:val="222222"/>
        </w:rPr>
        <w:t>Monthly</w:t>
      </w:r>
    </w:p>
    <w:p w14:paraId="59A995F5" w14:textId="4A9A77F0"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A4D9A1">
          <v:shape id="_x0000_i1063" type="#_x0000_t75" style="width:20.25pt;height:18pt" o:ole="">
            <v:imagedata r:id="rId8" o:title=""/>
          </v:shape>
          <w:control r:id="rId30" w:name="DefaultOcxName46" w:shapeid="_x0000_i1063"/>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3010E2"/>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3010E2"/>
    <w:rsid w:val="00447C61"/>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1.png"/><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4/Lab%204%20-%20Starting.zip" TargetMode="External"/><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2019-03-28T08:23:00Z</dcterms:created>
  <dcterms:modified xsi:type="dcterms:W3CDTF">2019-03-28T08:24:00Z</dcterms:modified>
</cp:coreProperties>
</file>