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Autospacing="1" w:afterAutospacing="1"/>
        <w:jc w:val="center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Договор поставки №</w:t>
      </w: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highlight w:val="yellow"/>
          <w:lang w:val="en-US" w:eastAsia="ru-RU"/>
        </w:rPr>
        <w:t>{</w:t>
      </w: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highlight w:val="yellow"/>
          <w:lang w:val="en-US" w:eastAsia="ru-RU"/>
        </w:rPr>
        <w:t>ввод (</w:t>
      </w: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highlight w:val="yellow"/>
          <w:lang w:eastAsia="ru-RU"/>
        </w:rPr>
        <w:t>НомерДокумента</w:t>
      </w: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highlight w:val="yellow"/>
          <w:lang w:eastAsia="ru-RU"/>
        </w:rPr>
        <w:t>)</w:t>
      </w: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highlight w:val="yellow"/>
          <w:lang w:val="en-US" w:eastAsia="ru-RU"/>
        </w:rPr>
        <w:t>}</w:t>
      </w:r>
    </w:p>
    <w:tbl>
      <w:tblPr>
        <w:tblW w:w="9195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217"/>
        <w:gridCol w:w="8977"/>
      </w:tblGrid>
      <w:tr>
        <w:trPr/>
        <w:tc>
          <w:tcPr>
            <w:tcW w:w="217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lang w:eastAsia="ru-RU"/>
              </w:rPr>
            </w:r>
          </w:p>
        </w:tc>
        <w:tc>
          <w:tcPr>
            <w:tcW w:w="8977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highlight w:val="yellow"/>
                <w:lang w:val="en-US" w:eastAsia="ru-RU"/>
              </w:rPr>
              <w:t>{</w:t>
            </w: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highlight w:val="yellow"/>
                <w:lang w:val="en-US" w:eastAsia="ru-RU"/>
              </w:rPr>
              <w:t>ввод (</w:t>
            </w: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highlight w:val="yellow"/>
                <w:lang w:eastAsia="ru-RU"/>
              </w:rPr>
              <w:t>ДатаДокумента</w:t>
            </w: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highlight w:val="yellow"/>
                <w:lang w:eastAsia="ru-RU"/>
              </w:rPr>
              <w:t>)</w:t>
            </w: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highlight w:val="yellow"/>
                <w:lang w:val="en-US" w:eastAsia="ru-RU"/>
              </w:rPr>
              <w:t>}</w:t>
            </w:r>
          </w:p>
        </w:tc>
      </w:tr>
    </w:tbl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highlight w:val="yellow"/>
          <w:lang w:eastAsia="ru-RU"/>
        </w:rPr>
        <w:t>{</w:t>
      </w: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highlight w:val="yellow"/>
          <w:lang w:eastAsia="ru-RU"/>
        </w:rPr>
        <w:t>ввод (</w:t>
      </w: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highlight w:val="yellow"/>
          <w:lang w:eastAsia="ru-RU"/>
        </w:rPr>
        <w:t>НазваниеКонтр</w:t>
      </w: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highlight w:val="yellow"/>
          <w:lang w:eastAsia="ru-RU"/>
        </w:rPr>
        <w:t>)</w:t>
      </w: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highlight w:val="yellow"/>
          <w:lang w:eastAsia="ru-RU"/>
        </w:rPr>
        <w:t>}</w:t>
      </w: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 xml:space="preserve"> именуемое в дальнейшем «Покупатель», в лице </w:t>
      </w: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highlight w:val="yellow"/>
          <w:lang w:eastAsia="ru-RU"/>
        </w:rPr>
        <w:t>{</w:t>
      </w: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highlight w:val="yellow"/>
          <w:lang w:eastAsia="ru-RU"/>
        </w:rPr>
        <w:t>ввод (</w:t>
      </w: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highlight w:val="yellow"/>
          <w:lang w:eastAsia="ru-RU"/>
        </w:rPr>
        <w:t>КонтрВЛице</w:t>
      </w: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highlight w:val="yellow"/>
          <w:lang w:eastAsia="ru-RU"/>
        </w:rPr>
        <w:t>)</w:t>
      </w: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highlight w:val="yellow"/>
          <w:lang w:eastAsia="ru-RU"/>
        </w:rPr>
        <w:t>}</w:t>
      </w: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 xml:space="preserve">, действующего на основании Устава, с одной стороны, и ИП </w:t>
      </w: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highlight w:val="yellow"/>
          <w:lang w:eastAsia="ru-RU"/>
        </w:rPr>
        <w:t>{</w:t>
      </w: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highlight w:val="yellow"/>
          <w:lang w:eastAsia="ru-RU"/>
        </w:rPr>
        <w:t>ввод (</w:t>
      </w: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highlight w:val="yellow"/>
          <w:lang w:eastAsia="ru-RU"/>
        </w:rPr>
        <w:t>ФИОИП</w:t>
      </w: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highlight w:val="yellow"/>
          <w:lang w:eastAsia="ru-RU"/>
        </w:rPr>
        <w:t>)</w:t>
      </w: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highlight w:val="yellow"/>
          <w:lang w:eastAsia="ru-RU"/>
        </w:rPr>
        <w:t>}</w:t>
      </w: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, именуемый в дальнейшем «Поставщик», с другой стороны, именуемые в дальнейшем Стороны, заключили настоящий Договор о нижеследующем:</w:t>
      </w:r>
    </w:p>
    <w:p>
      <w:pPr>
        <w:pStyle w:val="Normal"/>
        <w:spacing w:lineRule="auto" w:line="240" w:beforeAutospacing="1" w:afterAutospacing="1"/>
        <w:jc w:val="center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1. Предмет договора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1.1. В соответствии с настоящим Договором Поставщик обязуется поставить Покупателю горные велосипеды STELS Navigator 500 MD F020 (далее — Продукция) в соответствии со Спецификацией (приложение 1 к настоящему Договору), а Покупатель принять и оплатить продукцию в соответствии с разделом 2 договора.</w:t>
      </w:r>
    </w:p>
    <w:p>
      <w:pPr>
        <w:pStyle w:val="Normal"/>
        <w:spacing w:lineRule="auto" w:line="240" w:beforeAutospacing="1" w:afterAutospacing="1"/>
        <w:jc w:val="center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2. Сумма договора и порядок расчетов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2.1. Сумма настоящего Договора составляет 453 100 (четыреста пятьдесят три тысячи сто) руб. 00 коп., включая НДС 75 516 (семьдесят пять тысяч пятьсот шестнадцать) руб. 67 коп.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2.3. Оплата по настоящему Договору производится путем перечисления денежных средств на расчетный счет Поставщика в следующем порядке: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1) авансовый платеж в размере 50% от общей суммы Договора составляет: 226 550 (двести двадцать шесть тысяч пятьсот пятьдесят) руб. 00 коп., включая НДС 37 758 (тридцать семь тысяч семьсот пятьдесят восемь) руб. 33 коп., осуществляется в течение пяти рабочих дней после заключения Договора/согласования спецификации;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2) последующая оплата в сумме 226 550 (двести двадцать шесть тысяч пятьсот пятьдесят) руб. 00 коп., включая НДС 37 758 (тридцать семь тысяч семьсот пятьдесят восемь) руб. 33 коп., осуществляется в течение 30 дней с момента приемки продукции на основании УПД.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2.4. Цена продукции на период действия Договора является фиксированной и пересмотру не подлежит.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2.5. Стоимость доставки продукции, тары, упаковки и маркировки составляет 56 500 (пятьдесят шесть тысяч пятьсот) руб. 00 коп., включая НДС 9 416 (девять тысяч четыреста шестнадцать) руб. 67 коп.</w:t>
      </w:r>
    </w:p>
    <w:p>
      <w:pPr>
        <w:pStyle w:val="Normal"/>
        <w:spacing w:lineRule="auto" w:line="240" w:beforeAutospacing="1" w:afterAutospacing="1"/>
        <w:jc w:val="center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3. Условия и сроки поставки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{ЕСЛИ (Способ поставки) (По спецификации)}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3.1. Поставка продукции производится в соответствии со Спецификацией (приложение 1 к настоящему Договору).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{КОНЕЦ ЕСЛИ}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3.2. Поставщик обязуется поставить Покупателю продукцию в течение 7 (семи) рабочих дней с момента совершения авансового платежа, указанного в п. 2.3 настоящего Договора.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 xml:space="preserve">Какой-то </w:t>
      </w:r>
      <w:r>
        <w:rPr>
          <w:rFonts w:eastAsia="Times New Roman" w:cs="Times New Roman" w:ascii="Times New Roman" w:hAnsi="Times New Roman"/>
          <w:b/>
          <w:bCs/>
          <w:color w:themeColor="text1" w:val="000000"/>
          <w:sz w:val="24"/>
          <w:szCs w:val="24"/>
          <w:lang w:eastAsia="ru-RU"/>
        </w:rPr>
        <w:t>текст</w:t>
      </w: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 xml:space="preserve"> до{ЕСЛИ </w:t>
      </w:r>
      <w:r>
        <w:rPr>
          <w:rFonts w:eastAsia="Times New Roman" w:cs="Times New Roman" w:ascii="Times New Roman" w:hAnsi="Times New Roman"/>
          <w:color w:val="FF0000"/>
          <w:sz w:val="24"/>
          <w:szCs w:val="24"/>
          <w:lang w:eastAsia="ru-RU"/>
        </w:rPr>
        <w:t>(Способ поставки)</w:t>
      </w: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ab/>
        <w:tab/>
        <w:t xml:space="preserve"> (не по спецификации)} какой-то текст после. Текста мноооооого! {конец если}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u w:val="single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3.3. С каждым комплектом продукции поставляется:</w:t>
      </w:r>
    </w:p>
    <w:p>
      <w:pPr>
        <w:pStyle w:val="Normal"/>
        <w:spacing w:lineRule="auto" w:line="240" w:beforeAutospacing="1" w:afterAutospacing="1"/>
        <w:ind w:firstLine="218" w:left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 xml:space="preserve">1) Велосипедное крепление </w:t>
      </w: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val="en-US" w:eastAsia="ru-RU"/>
        </w:rPr>
        <w:t>Fenix</w:t>
      </w: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val="en-US" w:eastAsia="ru-RU"/>
        </w:rPr>
        <w:t>ALB</w:t>
      </w: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-10.</w:t>
      </w:r>
    </w:p>
    <w:p>
      <w:pPr>
        <w:pStyle w:val="Normal"/>
        <w:spacing w:lineRule="auto" w:line="240" w:beforeAutospacing="1" w:afterAutospacing="1"/>
        <w:ind w:firstLine="218" w:left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2) Кейс под седло велосипеда с креплением под фонарь SP Connect Saddle Case Set.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3.4. Упаковка продукции должна обеспечивать ее сохранность при транспортировке и хранении.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3.5. Грузополучателем продукции является Покупатель.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3.6. Продукция доставляется Поставщиком на склад Получателя по адресу: г. Челябинск, ул. Хлебозаводская 18/1.</w:t>
      </w:r>
    </w:p>
    <w:p>
      <w:pPr>
        <w:pStyle w:val="Normal"/>
        <w:spacing w:lineRule="auto" w:line="240" w:beforeAutospacing="1" w:afterAutospacing="1"/>
        <w:jc w:val="center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4. Обязательства сторон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{ЕСЛИ (обязан) (поставщик)}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4.1. Поставщик обязуется: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{ЕСЛИ ( Поставщик обязан:) (Поставить продукцию в соответствии с условиями)}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4.1.1. Поставить продукцию в соответствии с условиями настоящего Договора.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{конец если}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{ЕСЛИ ( Поставщик обязан:) (В письменной форме известить Покупателя)}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4.1.2. В письменной форме известить Покупателя (Грузополучателя) о готовности продукции к отгрузке не позднее, чем за 3 (три) рабочих дня до поставки.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{конец если}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4.1.3. Поставщик гарантирует соответствие поставляемой продукции техническим условиям/иным требованиям при ее использовании и хранении и несет все расходы по замене или ремонту дефектной продукции, выявленной Покупателем в течение гарантийного срока, если дефект не зависит от условий хранения или неправильного обращения.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 xml:space="preserve">4.1.4. Поставщик обязуется обеспечить гарантийное обслуживание поставляемой продукции в течение 90 (девяносто) дней </w:t>
      </w: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val="en-US" w:eastAsia="ru-RU"/>
        </w:rPr>
        <w:t>c</w:t>
      </w: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 xml:space="preserve"> момента приемки продукции.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{конец если}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{ЕСЛИ (обязан) (покупатель)}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4.2. Покупатель обязуется: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4.2.1. Принять и оплатить продукцию в соответствии с условиями настоящего Договора.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 xml:space="preserve">4.3. Поставщик по согласованию с Покупателем имеет право на досрочную поставку продукции </w:t>
      </w: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и {ввод (второе право поставщика:)}</w:t>
      </w: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4.4. Стороны не вправе передавать свои права и обязательства по настоящему Договору третьей стороне без письменного согласия другой Стороны.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{конец если}</w:t>
      </w:r>
    </w:p>
    <w:p>
      <w:pPr>
        <w:pStyle w:val="Normal"/>
        <w:spacing w:lineRule="auto" w:line="240" w:beforeAutospacing="1" w:afterAutospacing="1"/>
        <w:jc w:val="center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5. Порядок приемки продукции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5.1. Порядок приемки продукции Покупателем по количеству и качеству регулируется действующими Инструкциями о порядке приемки продукции производственно-технического назначения и товаров народного потребления по количеству, утвержденной Постановлением Госарбитража при Совете Министров СССР от 15.06.1965 N П-6, о порядке приемки продукции производственно-технического назначения и товаров народного потребления по качеству, утвержденной Постановлением Госарбитража при Совете Министров СССР от 25.04.1966 N П-7.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5.2. Датой поставки продукции считается дата подписания Сторонами (или их представителями) накладной.</w:t>
      </w:r>
    </w:p>
    <w:p>
      <w:pPr>
        <w:pStyle w:val="Normal"/>
        <w:spacing w:lineRule="auto" w:line="240" w:beforeAutospacing="1" w:afterAutospacing="1"/>
        <w:jc w:val="center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6. Ответственность сторон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6.1. При нарушении сроков поставки продукции Поставщик, при наличии письменной претензии, уплачивает Покупателю пеню в размере 0,5% стоимости не поставленной в срок (недопоставленной) продукции за каждый день просрочки, но не более 10% указанной стоимости.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6.2. При несоблюдении предусмотренных настоящим Договором сроков платежей Покупатель, при наличии письменной претензии, уплачивает Поставщику пеню в размере 0,5% не перечисленной в срок суммы за каждый день просрочки, но не более 10% от указанной суммы.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6.3. Поставщик несет ответственность за качество, комплектацию и количество поставляемой продукции, а также за недопоставку продукции.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6.4. Ответственность Сторон в иных случаях определяется в соответствии с законодательством Российской Федерации.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6.5. Уплата неустойки не освобождает Стороны от исполнения обязательств по настоящему Договору.</w:t>
      </w:r>
    </w:p>
    <w:p>
      <w:pPr>
        <w:pStyle w:val="Normal"/>
        <w:spacing w:lineRule="auto" w:line="240" w:beforeAutospacing="1" w:afterAutospacing="1"/>
        <w:jc w:val="center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7. Действие обстоятельств непреодолимой силы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7.1. Ни одна из Сторон не несет ответственность перед другой Стороной за неисполнение обязательств по настоящему Договору, обусловленное действием обстоятельств непреодолимой силы, т. е. чрезвычайных и непредотвратимых при данных условиях обстоятельств, в том числе: объявленная или фактическая война, гражданские волнения, эпидемии, блокада, эмбарго, пожары, землетрясения, наводнения и другие природные стихийные бедствия, а также издание актов государственных органов.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7.2. Свидетельство, выданное соответствующим компетентным органом, является достаточным подтверждением наличия и продолжительности действия непреодолимой силы.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7.3. Сторона, которая не исполняет обязательств по настоящему Договору вследствие действия непреодолимой силы, должна незамедлительно известить другую Сторону о таких обстоятельствах и их влиянии на исполнение обязательств по Договору.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7.4. Если обстоятельства непреодолимой силы действуют на протяжении 3 (трех) последовательных месяцев, настоящий Договор может быть расторгнут любой из Сторон путем направления письменного уведомления другой Стороне.</w:t>
      </w:r>
    </w:p>
    <w:p>
      <w:pPr>
        <w:pStyle w:val="Normal"/>
        <w:spacing w:lineRule="auto" w:line="240" w:beforeAutospacing="1" w:afterAutospacing="1"/>
        <w:jc w:val="center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8. Порядок разрешения споров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8.1. Все споры или разногласия, возникающие между Сторонами по настоящему Договору или в связи с ним, разрешаются путем переговоров между ними.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8.2. В случае невозможности разрешения разногласий путем переговоров они подлежат рассмотрению в арбитражном суде согласно порядку, установленному законодательством Российской Федерации.</w:t>
      </w:r>
    </w:p>
    <w:p>
      <w:pPr>
        <w:pStyle w:val="Normal"/>
        <w:spacing w:lineRule="auto" w:line="240" w:beforeAutospacing="1" w:afterAutospacing="1"/>
        <w:jc w:val="center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9. Порядок изменения и расторжения договора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9.1. Любые изменения и дополнения к настоящему Договору имеют силу только в том случае, если они оформлены в письменном виде и подписаны обеими Сторонами.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9.2. Досрочное расторжение Договора может иметь место в соответствии с п. 7.4 настоящего Договора либо по соглашению Сторон, либо на основаниях, предусмотренных законодательством Российской Федерации.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9.3. Сторона, решившая расторгнуть настоящий Договор, должна направить письменное уведомление о намерении расторгнуть настоящий Договор другой Стороне не позднее чем за 10 (десять) рабочих дней до предполагаемого дня расторжения настоящего Договора.</w:t>
      </w:r>
    </w:p>
    <w:p>
      <w:pPr>
        <w:pStyle w:val="Normal"/>
        <w:spacing w:lineRule="auto" w:line="240" w:beforeAutospacing="1" w:afterAutospacing="1"/>
        <w:jc w:val="center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10. Прочие условия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10.1. С момента подписания Сторонами настоящего Договора все предыдущие переговоры и переписка по нему теряют силу.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10.2. Настоящий Договор вступает в действие с 01.03.2023 г. и действует до исполнения Сторонами своих обязательств и завершения всех взаиморасчетов по Договору.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10.3. В случае изменения у какой-либо из Сторон местонахождения, названия, банковских реквизитов и прочего она обязана в течение 10 (десяти) дней письменно известить об этом другую Сторону, причем в письме необходимо указать, что оно является неотъемлемой частью настоящего Договора.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10.4. Настоящий Договор составлен в 2 (двух) экземплярах, имеющих одинаковую юридическую силу, по одному для каждой из сторон.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10.5. Следующие приложения являются неотъемлемой частью настоящего Договора: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 xml:space="preserve">— </w:t>
      </w: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приложение 1. Спецификация на поставку продукции.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10.6. Вопросы, не урегулированные настоящим Договором, разрешаются в соответствии с действующим законодательством Российской Федерации.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</w:r>
    </w:p>
    <w:tbl>
      <w:tblPr>
        <w:tblW w:w="5000" w:type="pct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4567"/>
        <w:gridCol w:w="218"/>
        <w:gridCol w:w="4570"/>
      </w:tblGrid>
      <w:tr>
        <w:trPr>
          <w:cantSplit w:val="true"/>
        </w:trPr>
        <w:tc>
          <w:tcPr>
            <w:tcW w:w="4567" w:type="dxa"/>
            <w:tcBorders/>
          </w:tcPr>
          <w:p>
            <w:pPr>
              <w:pStyle w:val="Normal"/>
              <w:spacing w:lineRule="auto" w:line="240" w:before="75" w:after="75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lang w:eastAsia="ru-RU"/>
              </w:rPr>
              <w:t>Покупатель:</w:t>
            </w:r>
          </w:p>
          <w:p>
            <w:pPr>
              <w:pStyle w:val="Normal"/>
              <w:spacing w:lineRule="auto" w:line="240" w:before="75" w:after="75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highlight w:val="yellow"/>
                <w:lang w:eastAsia="ru-RU"/>
              </w:rPr>
              <w:t>{НазваниеКонтр}</w:t>
            </w:r>
          </w:p>
          <w:p>
            <w:pPr>
              <w:pStyle w:val="Normal"/>
              <w:spacing w:lineRule="auto" w:line="240" w:before="75" w:after="75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lang w:eastAsia="ru-RU"/>
              </w:rPr>
              <w:t xml:space="preserve">ИНН: </w:t>
            </w: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highlight w:val="yellow"/>
                <w:lang w:eastAsia="ru-RU"/>
              </w:rPr>
              <w:t>{ИННКонтр}</w:t>
            </w:r>
          </w:p>
          <w:p>
            <w:pPr>
              <w:pStyle w:val="Normal"/>
              <w:spacing w:lineRule="auto" w:line="240" w:before="75" w:after="75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lang w:eastAsia="ru-RU"/>
              </w:rPr>
              <w:t xml:space="preserve">КПП: </w:t>
            </w: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highlight w:val="yellow"/>
                <w:lang w:eastAsia="ru-RU"/>
              </w:rPr>
              <w:t>{КППКонтр}</w:t>
            </w:r>
          </w:p>
          <w:p>
            <w:pPr>
              <w:pStyle w:val="Normal"/>
              <w:spacing w:lineRule="auto" w:line="240" w:before="75" w:after="75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2076450</wp:posOffset>
                  </wp:positionH>
                  <wp:positionV relativeFrom="paragraph">
                    <wp:posOffset>125095</wp:posOffset>
                  </wp:positionV>
                  <wp:extent cx="1663065" cy="1663065"/>
                  <wp:effectExtent l="0" t="0" r="0" b="0"/>
                  <wp:wrapNone/>
                  <wp:docPr id="1" name="Рисунок 1" descr="Печать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Печать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3065" cy="16630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lang w:eastAsia="ru-RU"/>
              </w:rPr>
              <w:t xml:space="preserve">ОГРН: </w:t>
            </w: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highlight w:val="yellow"/>
                <w:lang w:eastAsia="ru-RU"/>
              </w:rPr>
              <w:t>{ОГРНКонтр}</w:t>
            </w:r>
          </w:p>
          <w:p>
            <w:pPr>
              <w:pStyle w:val="Normal"/>
              <w:spacing w:lineRule="auto" w:line="240" w:before="75" w:after="75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lang w:eastAsia="ru-RU"/>
              </w:rPr>
              <w:t xml:space="preserve">Адрес: </w:t>
            </w: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highlight w:val="yellow"/>
                <w:lang w:eastAsia="ru-RU"/>
              </w:rPr>
              <w:t>{АдресКонтр}</w:t>
            </w:r>
          </w:p>
          <w:p>
            <w:pPr>
              <w:pStyle w:val="Normal"/>
              <w:spacing w:lineRule="auto" w:line="240" w:before="75" w:after="75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lang w:eastAsia="ru-RU"/>
              </w:rPr>
              <w:t xml:space="preserve">Р/с: </w:t>
            </w: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highlight w:val="yellow"/>
                <w:lang w:eastAsia="ru-RU"/>
              </w:rPr>
              <w:t>{РасчетныйСчетКонтр}</w:t>
            </w:r>
          </w:p>
          <w:p>
            <w:pPr>
              <w:pStyle w:val="Normal"/>
              <w:spacing w:lineRule="auto" w:line="240" w:before="75" w:after="75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lang w:eastAsia="ru-RU"/>
              </w:rPr>
              <w:t xml:space="preserve">Банк: </w:t>
            </w: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highlight w:val="yellow"/>
                <w:lang w:eastAsia="ru-RU"/>
              </w:rPr>
              <w:t>{НаименованиеБанкаКонтр}</w:t>
            </w:r>
          </w:p>
          <w:p>
            <w:pPr>
              <w:pStyle w:val="Normal"/>
              <w:spacing w:lineRule="auto" w:line="240" w:before="75" w:after="75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lang w:eastAsia="ru-RU"/>
              </w:rPr>
              <w:t xml:space="preserve">БИК: </w:t>
            </w: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highlight w:val="yellow"/>
                <w:lang w:eastAsia="ru-RU"/>
              </w:rPr>
              <w:t>{БИКБанкаКонтр}</w:t>
            </w:r>
          </w:p>
          <w:p>
            <w:pPr>
              <w:pStyle w:val="Normal"/>
              <w:spacing w:lineRule="auto" w:line="240" w:before="75" w:after="75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lang w:eastAsia="ru-RU"/>
              </w:rPr>
              <w:t xml:space="preserve">Корр/с: </w:t>
            </w: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highlight w:val="yellow"/>
                <w:lang w:eastAsia="ru-RU"/>
              </w:rPr>
              <w:t>{КоррСчетКонтр}</w:t>
            </w:r>
          </w:p>
          <w:p>
            <w:pPr>
              <w:pStyle w:val="Normal"/>
              <w:spacing w:lineRule="auto" w:line="240" w:before="75" w:after="75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highlight w:val="yellow"/>
                <w:lang w:eastAsia="ru-RU"/>
              </w:rPr>
              <w:t>{ФИОКонтрДляПодписи}</w:t>
            </w:r>
          </w:p>
          <w:p>
            <w:pPr>
              <w:pStyle w:val="Normal"/>
              <w:spacing w:lineRule="auto" w:line="240" w:before="75" w:after="75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lang w:eastAsia="ru-RU"/>
              </w:rPr>
              <w:t>М.П.</w:t>
            </w:r>
          </w:p>
        </w:tc>
        <w:tc>
          <w:tcPr>
            <w:tcW w:w="21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lang w:eastAsia="ru-RU"/>
              </w:rPr>
            </w:r>
          </w:p>
        </w:tc>
        <w:tc>
          <w:tcPr>
            <w:tcW w:w="4570" w:type="dxa"/>
            <w:tcBorders/>
          </w:tcPr>
          <w:p>
            <w:pPr>
              <w:pStyle w:val="Normal"/>
              <w:spacing w:lineRule="auto" w:line="240" w:before="75" w:after="75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lang w:eastAsia="ru-RU"/>
              </w:rPr>
              <w:t>Поставщик:</w:t>
            </w:r>
          </w:p>
          <w:p>
            <w:pPr>
              <w:pStyle w:val="Normal"/>
              <w:spacing w:lineRule="auto" w:line="240" w:before="75" w:after="75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highlight w:val="yellow"/>
                <w:lang w:eastAsia="ru-RU"/>
              </w:rPr>
              <w:t>{ФИОИП}</w:t>
            </w:r>
          </w:p>
          <w:p>
            <w:pPr>
              <w:pStyle w:val="Normal"/>
              <w:spacing w:lineRule="auto" w:line="240" w:before="75" w:after="75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lang w:eastAsia="ru-RU"/>
              </w:rPr>
              <w:t xml:space="preserve">ИНН: </w:t>
            </w: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highlight w:val="yellow"/>
                <w:lang w:eastAsia="ru-RU"/>
              </w:rPr>
              <w:t>{ИНН}</w:t>
            </w:r>
          </w:p>
          <w:p>
            <w:pPr>
              <w:pStyle w:val="Normal"/>
              <w:spacing w:lineRule="auto" w:line="240" w:before="75" w:after="75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lang w:eastAsia="ru-RU"/>
              </w:rPr>
              <w:t xml:space="preserve">ОГРН: </w:t>
            </w: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highlight w:val="yellow"/>
                <w:lang w:eastAsia="ru-RU"/>
              </w:rPr>
              <w:t>{ОГРН}</w:t>
            </w:r>
          </w:p>
          <w:p>
            <w:pPr>
              <w:pStyle w:val="Normal"/>
              <w:spacing w:lineRule="auto" w:line="240" w:before="75" w:after="75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lang w:eastAsia="ru-RU"/>
              </w:rPr>
              <w:t xml:space="preserve">Адрес: </w:t>
            </w: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highlight w:val="yellow"/>
                <w:lang w:eastAsia="ru-RU"/>
              </w:rPr>
              <w:t>{АдресДляДокументов}</w:t>
            </w:r>
          </w:p>
          <w:p>
            <w:pPr>
              <w:pStyle w:val="Normal"/>
              <w:spacing w:lineRule="auto" w:line="240" w:before="75" w:after="75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lang w:eastAsia="ru-RU"/>
              </w:rPr>
              <w:t xml:space="preserve">Р/с: </w:t>
            </w: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highlight w:val="yellow"/>
                <w:lang w:eastAsia="ru-RU"/>
              </w:rPr>
              <w:t>{РасчетныйСчет}</w:t>
            </w:r>
          </w:p>
          <w:p>
            <w:pPr>
              <w:pStyle w:val="Normal"/>
              <w:spacing w:lineRule="auto" w:line="240" w:before="75" w:after="75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lang w:eastAsia="ru-RU"/>
              </w:rPr>
              <w:t>Банк:</w:t>
            </w: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highlight w:val="yellow"/>
                <w:lang w:eastAsia="ru-RU"/>
              </w:rPr>
              <w:t>{НаименованиеБанкаИГородБанка}</w:t>
            </w:r>
          </w:p>
          <w:p>
            <w:pPr>
              <w:pStyle w:val="Normal"/>
              <w:spacing w:lineRule="auto" w:line="240" w:before="75" w:after="75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lang w:eastAsia="ru-RU"/>
              </w:rPr>
              <w:t xml:space="preserve">БИК: </w:t>
            </w: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highlight w:val="yellow"/>
                <w:lang w:eastAsia="ru-RU"/>
              </w:rPr>
              <w:t>{БИК}</w:t>
            </w:r>
          </w:p>
          <w:p>
            <w:pPr>
              <w:pStyle w:val="Normal"/>
              <w:spacing w:lineRule="auto" w:line="240" w:before="75" w:after="75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lang w:eastAsia="ru-RU"/>
              </w:rPr>
              <w:t>Корр/</w:t>
            </w: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lang w:val="en-US" w:eastAsia="ru-RU"/>
              </w:rPr>
              <w:t>c</w:t>
            </w: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lang w:eastAsia="ru-RU"/>
              </w:rPr>
              <w:t xml:space="preserve">: </w:t>
            </w: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highlight w:val="yellow"/>
                <w:lang w:eastAsia="ru-RU"/>
              </w:rPr>
              <w:t>{КоррСчет}</w:t>
            </w:r>
          </w:p>
          <w:p>
            <w:pPr>
              <w:pStyle w:val="Normal"/>
              <w:spacing w:lineRule="auto" w:line="240" w:before="75" w:after="75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highlight w:val="yellow"/>
                <w:lang w:eastAsia="ru-RU"/>
              </w:rPr>
              <w:t>{ФИОДляПодписи}</w:t>
            </w:r>
          </w:p>
          <w:p>
            <w:pPr>
              <w:pStyle w:val="Normal"/>
              <w:spacing w:lineRule="auto" w:line="240" w:before="75" w:after="75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lang w:eastAsia="ru-RU"/>
              </w:rPr>
              <w:t>М.П.</w:t>
            </w:r>
          </w:p>
        </w:tc>
      </w:tr>
    </w:tbl>
    <w:p>
      <w:pPr>
        <w:pStyle w:val="Normal"/>
        <w:spacing w:before="0" w:after="200"/>
        <w:rPr>
          <w:color w:themeColor="text1" w:val="000000"/>
        </w:rPr>
      </w:pPr>
      <w:r>
        <w:rPr>
          <w:color w:themeColor="text1" w:val="000000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8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52c3b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-converted-space" w:customStyle="1">
    <w:name w:val="apple-converted-space"/>
    <w:basedOn w:val="DefaultParagraphFont"/>
    <w:qFormat/>
    <w:rsid w:val="00ac311e"/>
    <w:rPr/>
  </w:style>
  <w:style w:type="character" w:styleId="c-macro" w:customStyle="1">
    <w:name w:val="c-macro"/>
    <w:basedOn w:val="DefaultParagraphFont"/>
    <w:qFormat/>
    <w:rsid w:val="00ac311e"/>
    <w:rPr/>
  </w:style>
  <w:style w:type="character" w:styleId="inlineblock" w:customStyle="1">
    <w:name w:val="inlineblock"/>
    <w:basedOn w:val="DefaultParagraphFont"/>
    <w:qFormat/>
    <w:rsid w:val="00ac311e"/>
    <w:rPr/>
  </w:style>
  <w:style w:type="character" w:styleId="t-pseudolink" w:customStyle="1">
    <w:name w:val="t-pseudolink"/>
    <w:basedOn w:val="DefaultParagraphFont"/>
    <w:qFormat/>
    <w:rsid w:val="00ac311e"/>
    <w:rPr/>
  </w:style>
  <w:style w:type="character" w:styleId="c-macro-label" w:customStyle="1">
    <w:name w:val="c-macro-label"/>
    <w:basedOn w:val="DefaultParagraphFont"/>
    <w:qFormat/>
    <w:rsid w:val="00ac311e"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4d7c22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Liberation Sans" w:cs="Liberation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Web">
    <w:name w:val="Normal (Web)"/>
    <w:basedOn w:val="Normal"/>
    <w:uiPriority w:val="99"/>
    <w:unhideWhenUsed/>
    <w:qFormat/>
    <w:rsid w:val="00ac311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4d7c2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214d4"/>
    <w:pPr>
      <w:spacing w:before="0" w:after="20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Application>LibreOffice/24.8.5.2$Linux_X86_64 LibreOffice_project/480$Build-2</Application>
  <AppVersion>15.0000</AppVersion>
  <Pages>5</Pages>
  <Words>1173</Words>
  <Characters>8035</Characters>
  <CharactersWithSpaces>9118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2014-01-30T04:53:00Z</dcterms:created>
  <dc:creator>Антонов Юрий Владимирович</dc:creator>
  <dc:description/>
  <dc:language>ru-RU</dc:language>
  <cp:lastModifiedBy/>
  <dcterms:modified xsi:type="dcterms:W3CDTF">2025-03-23T22:43:45Z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