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Договор поставки №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{ввод (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НомерДокумента)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"/>
        <w:gridCol w:w="8977"/>
      </w:tblGrid>
      <w:tr>
        <w:trPr/>
        <w:tc>
          <w:tcPr>
            <w:tcW w:w="2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89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{ввод (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ДатаДокумента)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{ввод (НазваниеКонтр)}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именуемое в дальнейшем «Покупатель», в лице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{ввод (КонтрВЛице)}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, действующего на основании Устава, с одной стороны, и ИП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{ввод (ФИОИП)}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, именуемый в дальнейшем «Поставщик», с другой стороны, именуемые в дальнейшем Стороны, заключили настоящий Договор о нижеследующем: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 Предмет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 горные велосипеды STELS Navigator 500 MD F020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 Сумма договора и порядок расчетов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2.1. Сумма настоящего Договора составляет 453 100 (четыреста пятьдесят три тысячи сто) руб. 00 коп., включая НДС 75 516 (семьдесят пять тысяч пятьсот шестнадцать) руб. 67 коп.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1) авансовый платеж в размере 50% от общей суммы Договора составляет: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пяти рабочих дней после заключения Договора/согласования спецификации;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последующая оплата в сумме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30 дней с момента приемки продукции на основании УПД.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2.5. Стоимость доставки продукции, тары, упаковки и маркировки составляет 56 500 (пятьдесят шесть тысяч пятьсот) руб. 00 коп., включая НДС 9 416 (девять тысяч четыреста шестнадцать) руб. 67 коп.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 Условия и сроки поставки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(Способ поставки) (По спецификации)}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3.2. Поставщик обязуется поставить Покупателю продукцию в течение 7 (семи) рабочих дней с момента совершения авансового платежа, указанного в п. 2.3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Какой-то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4"/>
          <w:szCs w:val="24"/>
          <w:lang w:eastAsia="ru-RU"/>
        </w:rPr>
        <w:t>текст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до{ЕСЛИ 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eastAsia="ru-RU"/>
        </w:rPr>
        <w:t>(Способ поставки)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ab/>
        <w:tab/>
        <w:t xml:space="preserve"> (не по спецификации)} какой-то текст после. Текста мноооооого! 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3.3. С каждым комплектом продукции поставляется: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1) Велосипедное крепление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Fenix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ALB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-10.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Кейс под седло велосипеда с креплением под фонарь SP Connect Saddle Case Set.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3.5. Грузополучателем продукции является Покупатель.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3.6. Продукция доставляется Поставщиком на склад Получателя по адресу: г. Челябинск, ул. Хлебозаводская 18/1.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 Обязательства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(обязан) (поставщик)}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 Поставщик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 Поставщик обязан:) (Поставить продукцию в соответствии с условиями)}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 Поставщик обязан:) (В письменной форме известить Покупателя)}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4.1.2. В письменной форме известить Покупателя (Грузополучателя) о готовности продукции к отгрузке не позднее, чем за 3 (три) рабочих дня до поставки.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90 (девяносто) дней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момента приемки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(обязан) (покупатель)}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 Покупатель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 и {ввод (второе право поставщика:)}.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 Порядок приемки продукции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 Ответственность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6.1. При нарушении сроков поставки продукции Поставщик, при наличии письменной претензии, уплачивает Покупателю пеню в размере 0,5% стоимости не поставленной в срок (недопоставленной) продукции за каждый день просрочки, но не более 10% указанной стоимости.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0,5% не перечисленной в срок суммы за каждый день просрочки, но не более 10% от указанной суммы.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 Действие обстоятельств непреодолимой силы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 Порядок разрешения споров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 Порядок изменения и расторжения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(десять) рабочих дней до предполагаемого дня расторжения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(1) (1.1)}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текст1.1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(2) (2.1)}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текст1.1.2.1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(2) (2.2)}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текст1.1.2.2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(4) (4.1)}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1.1. 4.1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(4) (4.2)}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1.1.4.2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{ввод (5_)}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(1) (1.2)}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текст1.2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     (3.1)}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1.2.3.1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{ввод (5_)}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(3.3)}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1.2.3.3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{если (4) (4.1)}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текст 1.2.4.1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{конец если}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{если (4) (4.2)}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текст 1.2.4.2</w:t>
      </w:r>
    </w:p>
    <w:p>
      <w:pPr>
        <w:pStyle w:val="Normal"/>
        <w:spacing w:lineRule="auto" w:line="240" w:beforeAutospacing="1" w:afterAutospacing="1"/>
        <w:ind w:hanging="0"/>
        <w:rPr/>
      </w:pPr>
      <w:r>
        <w:rPr/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(1) (1.3)}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 Прочие условия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(2) (2.1)}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текст2.1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(2) (2.2)}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текст2.2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(3.1)}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3.1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{ввод (6_)}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(3.2)}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3.2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(3) (3.3)}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текст 3.3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10.2. Настоящий Договор вступает в действие с 01.03.2023 г. и действует до исполнения Сторонами своих обязательств и завершения всех взаиморасчетов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приложение 1. Спецификация на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/>
        <w:t>{ввод (6_)}</w:t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567"/>
        <w:gridCol w:w="218"/>
        <w:gridCol w:w="4570"/>
      </w:tblGrid>
      <w:tr>
        <w:trPr>
          <w:cantSplit w:val="true"/>
        </w:trPr>
        <w:tc>
          <w:tcPr>
            <w:tcW w:w="4567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Покупатель: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КПП: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125095</wp:posOffset>
                  </wp:positionV>
                  <wp:extent cx="1663065" cy="1663065"/>
                  <wp:effectExtent l="0" t="0" r="0" b="0"/>
                  <wp:wrapNone/>
                  <wp:docPr id="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Банк: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Корр/с: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4570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Поставщик: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{ФИОИП}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Банк: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{НаименованиеБанкаИГородБанка}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Корр/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</w:tr>
    </w:tbl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c3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ac311e"/>
    <w:rPr/>
  </w:style>
  <w:style w:type="character" w:styleId="c-macro" w:customStyle="1">
    <w:name w:val="c-macro"/>
    <w:basedOn w:val="DefaultParagraphFont"/>
    <w:qFormat/>
    <w:rsid w:val="00ac311e"/>
    <w:rPr/>
  </w:style>
  <w:style w:type="character" w:styleId="inlineblock" w:customStyle="1">
    <w:name w:val="inlineblock"/>
    <w:basedOn w:val="DefaultParagraphFont"/>
    <w:qFormat/>
    <w:rsid w:val="00ac311e"/>
    <w:rPr/>
  </w:style>
  <w:style w:type="character" w:styleId="t-pseudolink" w:customStyle="1">
    <w:name w:val="t-pseudolink"/>
    <w:basedOn w:val="DefaultParagraphFont"/>
    <w:qFormat/>
    <w:rsid w:val="00ac311e"/>
    <w:rPr/>
  </w:style>
  <w:style w:type="character" w:styleId="c-macro-label" w:customStyle="1">
    <w:name w:val="c-macro-label"/>
    <w:basedOn w:val="DefaultParagraphFont"/>
    <w:qFormat/>
    <w:rsid w:val="00ac311e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d7c2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ac31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d7c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4d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LibreOffice/24.8.6.2$Linux_X86_64 LibreOffice_project/480$Build-2</Application>
  <AppVersion>15.0000</AppVersion>
  <Pages>7</Pages>
  <Words>1286</Words>
  <Characters>8627</Characters>
  <CharactersWithSpaces>9781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2014-01-30T04:53:00Z</dcterms:created>
  <dc:creator>Антонов Юрий Владимирович</dc:creator>
  <dc:description/>
  <dc:language>ru-RU</dc:language>
  <cp:lastModifiedBy/>
  <dcterms:modified xsi:type="dcterms:W3CDTF">2025-04-22T00:21:08Z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