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bidi w:val="1"/>
        <w:contextualSpacing w:val="0"/>
      </w:pPr>
      <w:bookmarkStart w:colFirst="0" w:colLast="0" w:name="_hhdfba5dttht" w:id="0"/>
      <w:bookmarkEnd w:id="0"/>
      <w:r w:rsidDel="00000000" w:rsidR="00000000" w:rsidRPr="00000000">
        <w:rPr>
          <w:b w:val="1"/>
          <w:u w:val="single"/>
          <w:rtl w:val="1"/>
        </w:rPr>
        <w:t xml:space="preserve">תיאור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מבנה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הקומפיילר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הקומפיילר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הלקסיקלי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RISKI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parser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ypp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ורגיסטרים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ABI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שהחלטנו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BACKPATCHING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ביצענו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הלקסיקלי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CMM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RSK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הקומפיילר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contextualSpacing w:val="0"/>
      </w:pPr>
      <w:bookmarkStart w:colFirst="0" w:colLast="0" w:name="_bgvfbfz6mt4s" w:id="1"/>
      <w:bookmarkEnd w:id="1"/>
      <w:r w:rsidDel="00000000" w:rsidR="00000000" w:rsidRPr="00000000">
        <w:rPr>
          <w:b w:val="1"/>
          <w:u w:val="single"/>
          <w:rtl w:val="1"/>
        </w:rPr>
        <w:t xml:space="preserve">תיאור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מבני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הנתונים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rtl w:val="1"/>
        </w:rPr>
        <w:t xml:space="preserve">מבני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TableOfSymbols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הסמלים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map&lt;string,stack&lt;symbol&gt;&gt; scopeMap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drawing>
          <wp:inline distB="114300" distT="114300" distL="114300" distR="114300">
            <wp:extent cx="5943600" cy="3911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0353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scoping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startNewScope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endScope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currentTableScopeID.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1- 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PARSER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b w:val="1"/>
          <w:u w:val="single"/>
          <w:rtl w:val="0"/>
        </w:rPr>
        <w:t xml:space="preserve">TableOfSymbols .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right"/>
      </w:pPr>
      <w:r w:rsidDel="00000000" w:rsidR="00000000" w:rsidRPr="00000000">
        <w:rPr>
          <w:b w:val="1"/>
          <w:u w:val="single"/>
          <w:rtl w:val="1"/>
        </w:rPr>
        <w:t xml:space="preserve">מבנה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הנתונים</w:t>
      </w:r>
      <w:r w:rsidDel="00000000" w:rsidR="00000000" w:rsidRPr="00000000">
        <w:rPr>
          <w:b w:val="1"/>
          <w:u w:val="single"/>
          <w:rtl w:val="1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האסמבלי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drawing>
          <wp:inline distB="114300" distT="114300" distL="114300" distR="114300">
            <wp:extent cx="5943600" cy="26416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PARSER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right"/>
      </w:pPr>
      <w:r w:rsidDel="00000000" w:rsidR="00000000" w:rsidRPr="00000000">
        <w:rPr>
          <w:b w:val="1"/>
          <w:u w:val="single"/>
          <w:rtl w:val="1"/>
        </w:rPr>
        <w:t xml:space="preserve">מבנה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נתונים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CmmStruct</w:t>
      </w:r>
    </w:p>
    <w:p w:rsidR="00000000" w:rsidDel="00000000" w:rsidP="00000000" w:rsidRDefault="00000000" w:rsidRPr="00000000">
      <w:pPr>
        <w:bidi w:val="1"/>
        <w:contextualSpacing w:val="0"/>
        <w:jc w:val="right"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cmmStructField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0"/>
        </w:rPr>
        <w:t xml:space="preserve">cmmStructField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OFFSET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u w:val="single"/>
          <w:rtl w:val="0"/>
        </w:rPr>
        <w:t xml:space="preserve">CmmStruct 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cmmStructField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052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719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PARSER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CmmStruct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contextualSpacing w:val="0"/>
      </w:pPr>
      <w:bookmarkStart w:colFirst="0" w:colLast="0" w:name="_n4wtihpylcki" w:id="2"/>
      <w:bookmarkEnd w:id="2"/>
      <w:r w:rsidDel="00000000" w:rsidR="00000000" w:rsidRPr="00000000">
        <w:rPr>
          <w:b w:val="1"/>
          <w:u w:val="single"/>
          <w:rtl w:val="1"/>
        </w:rPr>
        <w:t xml:space="preserve">תיאור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BACKPATCHING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contextualSpacing w:val="0"/>
      </w:pPr>
      <w:bookmarkStart w:colFirst="0" w:colLast="0" w:name="_cnnj1t6v5f83" w:id="3"/>
      <w:bookmarkEnd w:id="3"/>
      <w:r w:rsidDel="00000000" w:rsidR="00000000" w:rsidRPr="00000000">
        <w:rPr>
          <w:b w:val="1"/>
          <w:u w:val="single"/>
          <w:rtl w:val="1"/>
        </w:rPr>
        <w:t xml:space="preserve">המודלים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השונים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בקוד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memHandler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הזיכרון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05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RegistersBank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הרגיסטרים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drawing>
          <wp:inline distB="114300" distT="114300" distL="114300" distR="114300">
            <wp:extent cx="5943600" cy="1701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Common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שמשותפים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2997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 Buffer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כבאפר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ובעזרתו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EMIT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RSK</w:t>
      </w:r>
      <w:r w:rsidDel="00000000" w:rsidR="00000000" w:rsidRPr="00000000">
        <w:rPr>
          <w:rtl w:val="0"/>
        </w:rPr>
        <w:t xml:space="preserve"> . </w:t>
      </w:r>
      <w:r w:rsidDel="00000000" w:rsidR="00000000" w:rsidRPr="00000000">
        <w:drawing>
          <wp:inline distB="114300" distT="114300" distL="114300" distR="114300">
            <wp:extent cx="5943600" cy="39751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contextualSpacing w:val="0"/>
      </w:pPr>
      <w:bookmarkStart w:colFirst="0" w:colLast="0" w:name="_am1u9o6b5ew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contextualSpacing w:val="0"/>
      </w:pPr>
      <w:bookmarkStart w:colFirst="0" w:colLast="0" w:name="_hu22rcx6g9io" w:id="5"/>
      <w:bookmarkEnd w:id="5"/>
      <w:r w:rsidDel="00000000" w:rsidR="00000000" w:rsidRPr="00000000">
        <w:rPr>
          <w:b w:val="1"/>
          <w:u w:val="single"/>
          <w:rtl w:val="1"/>
        </w:rPr>
        <w:t xml:space="preserve">תיאור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כללי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רשומת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ההפעלה</w:t>
      </w:r>
      <w:r w:rsidDel="00000000" w:rsidR="00000000" w:rsidRPr="00000000">
        <w:rPr>
          <w:b w:val="1"/>
          <w:u w:val="single"/>
          <w:rtl w:val="1"/>
        </w:rPr>
        <w:t xml:space="preserve">- </w:t>
      </w:r>
      <w:r w:rsidDel="00000000" w:rsidR="00000000" w:rsidRPr="00000000">
        <w:rPr>
          <w:b w:val="1"/>
          <w:u w:val="single"/>
          <w:rtl w:val="0"/>
        </w:rPr>
        <w:t xml:space="preserve">ABI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אופן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הקצאת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רגיסטרים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מיוחדים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הסבר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על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מימוש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טיפוסים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מורכבים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והשמה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sz w:val="52"/>
          <w:szCs w:val="52"/>
          <w:u w:val="single"/>
          <w:rtl w:val="1"/>
        </w:rPr>
        <w:t xml:space="preserve">ביניהם</w:t>
      </w:r>
      <w:r w:rsidDel="00000000" w:rsidR="00000000" w:rsidRPr="00000000">
        <w:drawing>
          <wp:inline distB="114300" distT="114300" distL="114300" distR="114300">
            <wp:extent cx="4991100" cy="16668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06.png"/><Relationship Id="rId13" Type="http://schemas.openxmlformats.org/officeDocument/2006/relationships/image" Target="media/image14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20.png"/><Relationship Id="rId14" Type="http://schemas.openxmlformats.org/officeDocument/2006/relationships/image" Target="media/image07.png"/><Relationship Id="rId5" Type="http://schemas.openxmlformats.org/officeDocument/2006/relationships/image" Target="media/image17.png"/><Relationship Id="rId6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image" Target="media/image16.png"/></Relationships>
</file>