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4"/>
          <w:szCs w:val="24"/>
        </w:rPr>
      </w:pP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Octant застейкал 100,000 ETH. Прибыль от стейкинга направляет на гранты impactful Ethereum projects через quadratic funding. За 2.5 года через 12 эпох передал 3,402 ETH 134 проектам с no strings attached. </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S</w:t>
      </w:r>
      <w:r w:rsidDel="00000000" w:rsidR="00000000" w:rsidRPr="00000000">
        <w:rPr>
          <w:sz w:val="24"/>
          <w:szCs w:val="24"/>
          <w:rtl w:val="0"/>
        </w:rPr>
        <w:t xml:space="preserve">taking yield обеспечивает 96% от выплат проектам</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Оставшиеся 4% это пользовательские донаты, но именно они решают куда 96% пойдут</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Средняя donation в Octant QF $19 приносит проекту $500 матчинга</w:t>
      </w:r>
      <w:r w:rsidDel="00000000" w:rsidR="00000000" w:rsidRPr="00000000">
        <w:rPr>
          <w:rtl w:val="0"/>
        </w:rPr>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Но чем больше донатеров, тем сильнее усиливается этот эффект.</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Для проекта расширение supporter base на 10 человек в среднем это +$5,000 матчинга, независимо от размера donations.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Например ZachXBT в Epoch 9 собрал $1,100 от 91 donor'a. Matching pool из staking yield добавил $128,000. Leverage 116x. </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В эпоху AI slop и InfoFi farming, где людей считают как traffic, опыт Octant доказывает, что возможно создавать системы, где реальная человеческая коммуникация это самый эффективный финансовый multiplier в системе. QF буквально математически вознаграждает breadth донорской базы, а не depth кошелька. </w:t>
      </w: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Сейчас Октант в процессе шифт c</w:t>
      </w:r>
      <w:r w:rsidDel="00000000" w:rsidR="00000000" w:rsidRPr="00000000">
        <w:rPr>
          <w:rtl w:val="0"/>
        </w:rPr>
        <w:t xml:space="preserve"> </w:t>
      </w:r>
      <w:r w:rsidDel="00000000" w:rsidR="00000000" w:rsidRPr="00000000">
        <w:rPr>
          <w:sz w:val="24"/>
          <w:szCs w:val="24"/>
          <w:rtl w:val="0"/>
        </w:rPr>
        <w:t xml:space="preserve">impactful Ethereum projects то infrastructure tool который open to других ecosystems. Любая DAO с treasury теперь может использовать vaults для yield generation, и потом аллоцировать yield на funding rounds для своей community. </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Mashal цмо Октант сказала: "Ethereum is the starting point but I see the potential of this technology to be adopted by real world non-crypto organizations too."</w:t>
      </w:r>
    </w:p>
    <w:p w:rsidR="00000000" w:rsidDel="00000000" w:rsidP="00000000" w:rsidRDefault="00000000" w:rsidRPr="00000000" w14:paraId="0000000C">
      <w:pPr>
        <w:pStyle w:val="Heading2"/>
        <w:spacing w:after="240" w:before="240" w:lineRule="auto"/>
        <w:rPr/>
      </w:pPr>
      <w:bookmarkStart w:colFirst="0" w:colLast="0" w:name="_nxy9f18z3548" w:id="0"/>
      <w:bookmarkEnd w:id="0"/>
      <w:r w:rsidDel="00000000" w:rsidR="00000000" w:rsidRPr="00000000">
        <w:rPr>
          <w:rtl w:val="0"/>
        </w:rPr>
        <w:t xml:space="preserve">Подзаголовок: Какие проекты собрали больше всего фондинг в Октант</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Top 10 проектов собрали 44.8% от total funding (1524 из 3402 ETH). </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Здесь интерактивная таблица из csv</w:t>
      </w:r>
      <w:r w:rsidDel="00000000" w:rsidR="00000000" w:rsidRPr="00000000">
        <w:rPr>
          <w:sz w:val="24"/>
          <w:szCs w:val="24"/>
          <w:rtl w:val="0"/>
        </w:rPr>
        <w:t xml:space="preserve">]</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Больше всего funding в Octant получают проекты, которые возвращаются раунд за раундом. 37.3% возвращенных проектов 84.4% от total funding. Оставшиеся 62.7% one-timer проекта получили только 15.6% от total funding. </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В пересчете на один проект returner в среднем собрал 57.5 ETH за свою историю в Octant, one-timer всего 6.3 ETH, разница примерно девятикратная. Octant систематически награждает consistency и track record. </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w:t>
      </w:r>
      <w:r w:rsidDel="00000000" w:rsidR="00000000" w:rsidRPr="00000000">
        <w:rPr>
          <w:i w:val="1"/>
          <w:iCs w:val="1"/>
          <w:sz w:val="24"/>
          <w:szCs w:val="24"/>
          <w:rtl w:val="0"/>
        </w:rPr>
        <w:t xml:space="preserve">чарты</w:t>
      </w:r>
      <w:r w:rsidDel="00000000" w:rsidR="00000000" w:rsidRPr="00000000">
        <w:rPr>
          <w:sz w:val="24"/>
          <w:szCs w:val="24"/>
          <w:rtl w:val="0"/>
        </w:rPr>
        <w:t xml:space="preserv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Чтобы понять во что именно Octant вкладывается тематически, я выделил 9 основных категорий: </w:t>
      </w:r>
    </w:p>
    <w:p w:rsidR="00000000" w:rsidDel="00000000" w:rsidP="00000000" w:rsidRDefault="00000000" w:rsidRPr="00000000" w14:paraId="00000013">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Ethereum Infrastructure (core protocol, staking, MEV, attestations), </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Developer Tools (компиляторы, библиотеки, IDE, эксплореры), </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Security &amp; Privacy (Tor, Shutter, identity, allowance management), </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Public Goods Funding (мета-координация грантов и funding tools), </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Education &amp; Onboarding (обучающие программы и академии), </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Research &amp; Analytics (data analytics, on-chain investigations), </w:t>
      </w:r>
    </w:p>
    <w:p w:rsidR="00000000" w:rsidDel="00000000" w:rsidP="00000000" w:rsidRDefault="00000000" w:rsidRPr="00000000" w14:paraId="00000019">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Media &amp; Storytelling (контент, журналистика, документалистика), </w:t>
      </w:r>
    </w:p>
    <w:p w:rsidR="00000000" w:rsidDel="00000000" w:rsidP="00000000" w:rsidRDefault="00000000" w:rsidRPr="00000000" w14:paraId="0000001A">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Community &amp; Coordination (DAO governance, community building) и </w:t>
      </w:r>
    </w:p>
    <w:p w:rsidR="00000000" w:rsidDel="00000000" w:rsidP="00000000" w:rsidRDefault="00000000" w:rsidRPr="00000000" w14:paraId="0000001B">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Climate &amp; Regenerative (climate tech, ReFi, environmental).</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73% всего funding в Octant ушло в пять категорий технического Ethereum-стека. В этих категориях и самые большие средние выплаты на проект, до 74 ETH в Ethereum Infrastructure против 6 ETH в Media &amp; Storytelling.</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Внутри этого топа порядок меняется в зависимости от того, учитывать ли Эпоху 0. По абсолютному объёму первое место занимает Public Goods Funding с 744 ETH (21.9% от total), но больше половины этого даёт pre-launch раунд, где Gitcoin, Giveth, Clr.fund, DAO Drops и Drips забрали 417 из 535 ETH. Без Эпохи 0 в лидеры выходят Ethereum Infrastructure и Developer Tools, они получали матчинг последовательно через все V1 эпохи.</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Themed раунды дали обратный эффект, больше проектов и меньше денег каждому. Climate &amp; Regenerative (23 проекта из Эпохи 7 climate round) и Media &amp; Storytelling (26 проектов из Эпохи 9 Ethereum Stories) вместе составляют 37% всех уникальных проектов в данных, но получили только 13.6% от total funding. Средний чек 13 ETH на climate проект и 6 ETH на media проект против 74 ETH в Ethereum Infrastructure.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Ethereum Infrastructure это самый concentrated bet Octant. Всего 7 проектов или 5.2% от всех, но 15.2% от funding. Сюда входят Protocol Guild (323 ETH cumulative), Ethereum Attestation Service (79 ETH), Dappnode (49 ETH), Aestus MEV Relay (47 ETH), Commit-Boost, Verifereum и Ephemery Testnet.</w:t>
      </w:r>
    </w:p>
    <w:p w:rsidR="00000000" w:rsidDel="00000000" w:rsidP="00000000" w:rsidRDefault="00000000" w:rsidRPr="00000000" w14:paraId="00000020">
      <w:pPr>
        <w:pStyle w:val="Heading2"/>
        <w:spacing w:after="240" w:before="240" w:lineRule="auto"/>
        <w:rPr/>
      </w:pPr>
      <w:bookmarkStart w:colFirst="0" w:colLast="0" w:name="_shf7i082gvhs" w:id="1"/>
      <w:bookmarkEnd w:id="1"/>
      <w:r w:rsidDel="00000000" w:rsidR="00000000" w:rsidRPr="00000000">
        <w:rPr>
          <w:rtl w:val="0"/>
        </w:rPr>
        <w:t xml:space="preserve">Подзаголовок: Как переход на Quadratic Funding повлиял на распределение аллокаций</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До четвёртой эпохи у Octant был фиксированный pool, который делился между проектами пропорционально тому, сколько каждому задонатили. В первой эпохе множитель был 44.4x для всех проектов, во второй 58.4x, в третьей 14.3x. Один человек на $100 и сто человек по $1 давали одинаковый эффект.</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С четвёртой эпохи Octant запустил Quadratic Funding. Главное отличие в том, что теперь количество донаторов на проект тоже считается. Чем шире донорская база, тем больше доля pool достаётся проекту. Сто человек по $1 теперь дают проекту значительно больше match, чем один человек на $100.</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Например, в восьмой эпохе Solidity и hevm получили примерно равные user donations, около 1.2 ETH каждому. Но у Solidity было 84 уникальных донора, а у hevm только 28. В итоге Solidity забрал 21 ETH match, hevm 7.6 ETH. При одинаковой сумме доната втрое большая донорская база дала почти втрое больше match. До четвёртой эпохи эти два проекта получили бы математически одинаковую сумму.</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ZachXBT's 91 small donors collectively contributed roughly $1,100 to his Octant Epoch 9 campaign. The matching pool added $128,000 on top. In Octant's QF model, donor breadth functions as a multiplier on user money, and ZachXBT's broad audience turned modest individual donations into a six-figure outcome.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За 11 эпох V1 в Octant участвовало 1,270 уникальных donors. 61% из них возвращались в двух или более эпохах. 11 человек участвовали в каждой из 11 эпох, ещё 22 пропустили только одну.</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Donor base Octant сочетает broad accessibility и committed core. 39% donors заходят один раз для конкретного раунда и не возвращаются. На другом конце spectrum 33 человека участвовали в 10+ эпохах из 11. Между ними распределение спадает экспоненциально. </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Тут чарт отражающий эти данные: </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39.1% one-timers (497 donors участвовали ровно в 1 эпохе)</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19.8% в 2 эпохах</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11.4% в 3</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12.2% в 4</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5.3% в 5</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3.1% в 6</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2.4% в 7</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2.0% в 8</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1.9% в 9</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1.7% в 10</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0.9% в 11</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Чарт закончен</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Сами donors напрямую направили в проекты 109.51 ETH своих personal rewards. Matching pool из staking yield Golem Foundation добавил поверх этого 2,758 ETH. То есть финальные выплаты проектам это на 96% staking yield contribution и на 4% пользовательские allocations, которые направляют куда этот yield идёт.</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Один дополнительный donor при средней donation $19 приносит проекту в среднем $500 матчинга. Это значит что в QF лоджике человек ценнее своих собственных денег примерно в 26 раз. Для проекта расширение supporter base на 10 человек это +$5,000 матчинга, независимо от того сколько именно эти люди задонатят.</w:t>
      </w:r>
    </w:p>
    <w:p w:rsidR="00000000" w:rsidDel="00000000" w:rsidP="00000000" w:rsidRDefault="00000000" w:rsidRPr="00000000" w14:paraId="00000036">
      <w:pPr>
        <w:spacing w:after="240" w:before="240" w:lineRule="auto"/>
        <w:rPr>
          <w:sz w:val="24"/>
          <w:szCs w:val="24"/>
        </w:rPr>
      </w:pPr>
      <w:r w:rsidDel="00000000" w:rsidR="00000000" w:rsidRPr="00000000">
        <w:rPr>
          <w:rtl w:val="0"/>
        </w:rPr>
      </w:r>
    </w:p>
    <w:p w:rsidR="00000000" w:rsidDel="00000000" w:rsidP="00000000" w:rsidRDefault="00000000" w:rsidRPr="00000000" w14:paraId="00000037">
      <w:pPr>
        <w:pStyle w:val="Heading2"/>
        <w:spacing w:after="240" w:before="240" w:lineRule="auto"/>
        <w:rPr/>
      </w:pPr>
      <w:bookmarkStart w:colFirst="0" w:colLast="0" w:name="_wvo9xp6z2hb3" w:id="2"/>
      <w:bookmarkEnd w:id="2"/>
      <w:r w:rsidDel="00000000" w:rsidR="00000000" w:rsidRPr="00000000">
        <w:rPr>
          <w:rtl w:val="0"/>
        </w:rPr>
        <w:t xml:space="preserve">Подзаголовок: Социальный capital это не nice-to-have, а необходимое условие для функционирования commons (раздел в работе)</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Будет обзор исследований секция, но пока не знаю где. </w:t>
      </w:r>
    </w:p>
    <w:p w:rsidR="00000000" w:rsidDel="00000000" w:rsidP="00000000" w:rsidRDefault="00000000" w:rsidRPr="00000000" w14:paraId="00000039">
      <w:pPr>
        <w:spacing w:after="240" w:before="240" w:lineRule="auto"/>
        <w:rPr>
          <w:b w:val="1"/>
          <w:bCs w:val="1"/>
          <w:sz w:val="24"/>
          <w:szCs w:val="24"/>
        </w:rPr>
      </w:pPr>
      <w:r w:rsidDel="00000000" w:rsidR="00000000" w:rsidRPr="00000000">
        <w:rPr>
          <w:b w:val="1"/>
          <w:bCs w:val="1"/>
          <w:sz w:val="24"/>
          <w:szCs w:val="24"/>
          <w:rtl w:val="0"/>
        </w:rPr>
        <w:t xml:space="preserve">5. Elinor Ostrom commons research</w:t>
      </w:r>
    </w:p>
    <w:p w:rsidR="00000000" w:rsidDel="00000000" w:rsidP="00000000" w:rsidRDefault="00000000" w:rsidRPr="00000000" w14:paraId="0000003A">
      <w:pPr>
        <w:spacing w:after="240" w:before="240" w:lineRule="auto"/>
        <w:rPr>
          <w:color w:val="1155cc"/>
          <w:sz w:val="24"/>
          <w:szCs w:val="24"/>
          <w:u w:val="single"/>
        </w:rPr>
      </w:pPr>
      <w:r w:rsidDel="00000000" w:rsidR="00000000" w:rsidRPr="00000000">
        <w:rPr>
          <w:sz w:val="24"/>
          <w:szCs w:val="24"/>
          <w:rtl w:val="0"/>
        </w:rPr>
        <w:t xml:space="preserve">Ostrom получила Nobel за исследование commons governance. Её ключевое findings "social capital enables collective action, the accumulation of social capital through development provides a basis for an expansion in the numbers of CPIs in a society".</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ResearchGate</w:t>
        </w:r>
      </w:hyperlink>
      <w:r w:rsidDel="00000000" w:rsidR="00000000" w:rsidRPr="00000000">
        <w:rPr>
          <w:rtl w:val="0"/>
        </w:rPr>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Это более fundamental research показывающий что социальный capital (network of trust, coordination capacity) это не nice-to-have, а необходимое условие для функционирования commons. Octant matching pool по сути digital commons, и Ostrom framework применим. Не direct empirical support для QF, но deep theoretical foundation.</w:t>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b w:val="1"/>
          <w:bCs w:val="1"/>
          <w:sz w:val="24"/>
          <w:szCs w:val="24"/>
          <w:rtl w:val="0"/>
        </w:rPr>
        <w:t xml:space="preserve">5. Attention economy / authentic engagement research</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Здесь research более fragmented и часто в industry а не academic форме, но direction есть. Бывший Web 2.0 capture-attention model переходит к чему-то другому.</w:t>
      </w:r>
    </w:p>
    <w:p w:rsidR="00000000" w:rsidDel="00000000" w:rsidP="00000000" w:rsidRDefault="00000000" w:rsidRPr="00000000" w14:paraId="0000003E">
      <w:pPr>
        <w:spacing w:after="240" w:before="240" w:lineRule="auto"/>
        <w:rPr>
          <w:color w:val="1155cc"/>
          <w:sz w:val="24"/>
          <w:szCs w:val="24"/>
          <w:u w:val="single"/>
        </w:rPr>
      </w:pPr>
      <w:r w:rsidDel="00000000" w:rsidR="00000000" w:rsidRPr="00000000">
        <w:rPr>
          <w:sz w:val="24"/>
          <w:szCs w:val="24"/>
          <w:rtl w:val="0"/>
        </w:rPr>
        <w:t xml:space="preserve">"The most successful brands in 2025 won't be those that capture the most attention, but those that respect it. They're moving away from 'viral at any cost' toward what researchers call 'audience-focused virality', creating genuine value for specific communities rather than casting the widest possible net."</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Medium</w:t>
        </w:r>
      </w:hyperlink>
      <w:r w:rsidDel="00000000" w:rsidR="00000000" w:rsidRPr="00000000">
        <w:rPr>
          <w:rtl w:val="0"/>
        </w:rPr>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pStyle w:val="Heading2"/>
        <w:spacing w:after="240" w:before="240" w:lineRule="auto"/>
        <w:rPr/>
      </w:pPr>
      <w:bookmarkStart w:colFirst="0" w:colLast="0" w:name="_6xzaxqk9lbj" w:id="3"/>
      <w:bookmarkEnd w:id="3"/>
      <w:r w:rsidDel="00000000" w:rsidR="00000000" w:rsidRPr="00000000">
        <w:rPr>
          <w:rtl w:val="0"/>
        </w:rPr>
        <w:t xml:space="preserve">Методология</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Сначала я хотел собрать полный список проектов с разбивкой по эпохам, точным суммам в ETH (allocated и matched отдельно), и адресам получателей, чтобы можно было их сравнить и разбить на категории. Octant в docs и dashboard публикует агрегированные цифры по эпохам и leaderboard на каждую эпоху отдельно, но единого dataset со всеми проектами и точными суммами по всей истории я не нашёл. Нужно было собрать самостоятельно.</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Я начал с того что открыл Octant app в браузере, в DevTools Network tab переключил эпоху и поймал XHR запросы которые подтягивают leaderboard. Базовый URL оказался backend.mainnet.octant.app. Открыл /openapi.json и получил Swagger spec со всеми endpoint'ами V1 API. API публичный, без авторизации, работает поверх Ethereum subgraph'а. Написал Python script с тремя нужными endpoint'ами (leaderboard на эпоху, aggregate stats, address-to-name mapping), прошёл по всем 12 эпохам, сохранил JSON.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Все эпохи кроме нулевой вернули чистые данные. Epoch 0 в API отсутствовала, потому что была pre-launch curated round до запуска V1 механики и в схему API не вписывается.</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Небольшая ремарка про нумерацию, потому что её многие путают. Octant считает эпохи с нуля. От Epoch 0 в до Epoch 11 прошло 12 раундов. Текущий запуск, первый на новой версии платформы, называется Epoch 12. (это надо проверить как он точно называется, возможно 12 раунд ил что-то такое)</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Чтобы закрыть gap по нулевой эпохе, я нашёл в документации Golem Foundation distribution wallet 0x70a0a7be87deb51e1fab16d4f2bf00be1510e476 и выгрузил через питон все его транзакции. Получил недостающие данные, заодно валидировал данные из двух источников между собой.</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Дальше осталась консолидация. Слил данные V1 API (эпохи 1-11) и on-chain reconstruction (Epoch 0) в один master CSV, получил 273 строки на уровне проект-эпоха. Потом сгруппировал по проектам и нормализовал имена, потому что Octant в разных эпохах иногда писал одно и то же название с вариациями вроде "Tor Project" и "The Tor Project" или "Hypercerts" и "Hypercerts Foundation". Все такие случаи свёл к одному каноническому имени. Получил cumulative leaderboard из 134 уникальных проектов с суммарным funding по всей истории Octant.</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Дальше хотел понять во что именно Octant вкладывается тематически, но 134 имени без группировки трудно интерпретировать. Нужна была категоризация. Для этого я прошёлся по списку и проставил каждому проекту одну из 9 категорий: </w:t>
      </w:r>
    </w:p>
    <w:p w:rsidR="00000000" w:rsidDel="00000000" w:rsidP="00000000" w:rsidRDefault="00000000" w:rsidRPr="00000000" w14:paraId="0000004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Ethereum Infrastructure (core protocol, staking, MEV, attestations), </w:t>
      </w:r>
    </w:p>
    <w:p w:rsidR="00000000" w:rsidDel="00000000" w:rsidP="00000000" w:rsidRDefault="00000000" w:rsidRPr="00000000" w14:paraId="0000004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Developer Tools (компиляторы, библиотеки, IDE, эксплореры), </w:t>
      </w:r>
    </w:p>
    <w:p w:rsidR="00000000" w:rsidDel="00000000" w:rsidP="00000000" w:rsidRDefault="00000000" w:rsidRPr="00000000" w14:paraId="0000004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Security &amp; Privacy (Tor, Shutter, identity, allowance management), </w:t>
      </w:r>
    </w:p>
    <w:p w:rsidR="00000000" w:rsidDel="00000000" w:rsidP="00000000" w:rsidRDefault="00000000" w:rsidRPr="00000000" w14:paraId="0000004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Public Goods Funding (мета-координация грантов и funding tools), </w:t>
      </w:r>
    </w:p>
    <w:p w:rsidR="00000000" w:rsidDel="00000000" w:rsidP="00000000" w:rsidRDefault="00000000" w:rsidRPr="00000000" w14:paraId="0000004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Education &amp; Onboarding (обучающие программы и академии), </w:t>
      </w:r>
    </w:p>
    <w:p w:rsidR="00000000" w:rsidDel="00000000" w:rsidP="00000000" w:rsidRDefault="00000000" w:rsidRPr="00000000" w14:paraId="0000004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Research &amp; Analytics (data analytics, on-chain investigations), </w:t>
      </w:r>
    </w:p>
    <w:p w:rsidR="00000000" w:rsidDel="00000000" w:rsidP="00000000" w:rsidRDefault="00000000" w:rsidRPr="00000000" w14:paraId="0000004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Media &amp; Storytelling (контент, журналистика, документалистика), </w:t>
      </w:r>
    </w:p>
    <w:p w:rsidR="00000000" w:rsidDel="00000000" w:rsidP="00000000" w:rsidRDefault="00000000" w:rsidRPr="00000000" w14:paraId="0000004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Community &amp; Coordination (DAO governance, community building) и </w:t>
      </w:r>
    </w:p>
    <w:p w:rsidR="00000000" w:rsidDel="00000000" w:rsidP="00000000" w:rsidRDefault="00000000" w:rsidRPr="00000000" w14:paraId="0000005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Climate &amp; Regenerative (climate tech, ReFi, environmental).</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Категоризация была manual. Прошёлся по 134 проектам, по каждому либо знал тематику, либо посмотрел сайт. Каждому проставил одну из 9 категорий. Borderline cases (например, проект который одновременно security tool и DAO governance) разрешал по primary function. После этого можно было видеть какие категории доминируют по объёму funding и среднему чеку на проект.</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Дальше хотел понять как именно работают allocations и кто эти donors. Octant V1 API имеет endpoint </w:t>
      </w:r>
      <w:r w:rsidDel="00000000" w:rsidR="00000000" w:rsidRPr="00000000">
        <w:rPr>
          <w:rFonts w:ascii="Roboto Mono" w:cs="Roboto Mono" w:eastAsia="Roboto Mono" w:hAnsi="Roboto Mono"/>
          <w:color w:val="188038"/>
          <w:sz w:val="24"/>
          <w:szCs w:val="24"/>
          <w:rtl w:val="0"/>
        </w:rPr>
        <w:t xml:space="preserve">/allocations/project/{address}/epoch/{N}</w:t>
      </w:r>
      <w:r w:rsidDel="00000000" w:rsidR="00000000" w:rsidRPr="00000000">
        <w:rPr>
          <w:sz w:val="24"/>
          <w:szCs w:val="24"/>
          <w:rtl w:val="0"/>
        </w:rPr>
        <w:t xml:space="preserve"> который возвращает все user donations к конкретному проекту в конкретной эпохе с individual donor addresses. Прошёл этот endpoint по всем 195 QF project-epoch комбинациям эпох 1-11 и собрал dataset из 17,595 individual allocations. Каждая запись содержит donor address, project address, epoch и сумму в ETH.</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Для retention статистики сгруппировал allocations по donor address и посчитал в скольких уникальных эпохах каждый donor участвовал. Получил 1,270 уникальных donors с distribution participation от 1 до 11 эпох. Returners (2+ эпохи) 773 человека или 60.9%. Core base (10+ эпох) 33. Perfect attendance во всех 11 эпохах 11 человек.</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С QF механикой проще. Для каждой эпохи посчитал ratio match/allocated по всем проектам. В эпохах 1-3 этот ratio оказался одинаковый для всех проектов внутри одной эпохи (44.4x в первой, 58.4x во второй, 14.3x в третьей). Это подтвердило что Octant использовал proportional matching до запуска QF. С четвёртой эпохи ratio варьируется per project в зависимости от donor count, и эта вариация и есть основной mechanical effect QF. Конкретные examples (Solidity vs hevm в Epoch 8, ZachXBT в Epoch 9) взял из master dataset напрямую по project address.</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Match per donor analysis сделал в два прохода. Сначала simple version. Для каждой QF project-epoch (194 строки) посчитал avg donation size (allocated / n_donors) и match per donor (matched / n_donors). Bucketize'нул project-epochs по размеру avg donation, получил leverage от 93x при donations меньше $2 до 9x при donations свыше $50. Затем weighted version, взвешенное по числу donors во всех 11,702 individual allocations QF эпох. Это даёт $19 average donation, $500 average match per donor, 26x leverage. Weighted версия отражает typical donor experience а не typical project experience, и именно её использовал в основных claim'ах статьи.</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User vs matching pool split посчитал суммированием. Все allocated_eth по V1 эпохам это 109.51 ETH (часть staking yield которая пришла к users как personal rewards и которую они направили проектам, а не оставили себе). Все matched_eth это 2,758 ETH (часть staking yield которая пошла напрямую в matching pool). Total funding к проектам в V1 2,867 ETH. Соотношение 96/4 в пользу matching pool.</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Для USD conversions брал $3,000 за ETH как rough average через QF эпохи (август 2023 — январь 2026). Реальная цена варьировалась $1,600-$4,200. Это не критично для directional analysis (leverage ratios, distribution patterns), но стоит учитывать при interpretation специфических USD numbers вроде "$500 average match per donor" или "$128,000 ZachXBT matching".</w:t>
      </w:r>
    </w:p>
    <w:p w:rsidR="00000000" w:rsidDel="00000000" w:rsidP="00000000" w:rsidRDefault="00000000" w:rsidRPr="00000000" w14:paraId="00000058">
      <w:pPr>
        <w:spacing w:after="240" w:before="240" w:lineRule="auto"/>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alexlabarces/the-new-attention-economy-8edd5a6df059" TargetMode="External"/><Relationship Id="rId5" Type="http://schemas.openxmlformats.org/officeDocument/2006/relationships/styles" Target="styles.xml"/><Relationship Id="rId6" Type="http://schemas.openxmlformats.org/officeDocument/2006/relationships/hyperlink" Target="https://www.researchgate.net/publication/391697906_Elinor_Ostrom_Governing_the_Commons_The_Evolution_of_Institutions_for_Collective_Action" TargetMode="External"/><Relationship Id="rId7" Type="http://schemas.openxmlformats.org/officeDocument/2006/relationships/hyperlink" Target="https://www.researchgate.net/publication/391697906_Elinor_Ostrom_Governing_the_Commons_The_Evolution_of_Institutions_for_Collective_Action" TargetMode="External"/><Relationship Id="rId8" Type="http://schemas.openxmlformats.org/officeDocument/2006/relationships/hyperlink" Target="https://medium.com/@alexlabarces/the-new-attention-economy-8edd5a6df05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