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58.png" ContentType="image/png"/>
  <Override PartName="/word/media/rId62.png" ContentType="image/png"/>
  <Override PartName="/word/media/rId26.png" ContentType="image/png"/>
  <Override PartName="/word/media/rId30.png" ContentType="image/png"/>
  <Override PartName="/word/media/rId34.png" ContentType="image/png"/>
  <Override PartName="/word/media/rId38.png" ContentType="image/png"/>
  <Override PartName="/word/media/rId42.png" ContentType="image/png"/>
  <Override PartName="/word/media/rId46.png" ContentType="image/png"/>
  <Override PartName="/word/media/rId50.png" ContentType="image/png"/>
  <Override PartName="/word/media/rId5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№8</w:t>
      </w:r>
    </w:p>
    <w:p>
      <w:pPr>
        <w:pStyle w:val="Subtitle"/>
      </w:pPr>
      <w:r>
        <w:t xml:space="preserve">Реализация основных моделей в дискретно-событийном подходе</w:t>
      </w:r>
    </w:p>
    <w:p>
      <w:pPr>
        <w:pStyle w:val="Author"/>
      </w:pPr>
      <w:r>
        <w:t xml:space="preserve">Андрей Геннадьевич Софич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Изучить дискретно-событийный подход к имитационному моделированию на примере классической модели распространения инфекции SIR.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FirstParagraph"/>
      </w:pPr>
      <w:r>
        <w:t xml:space="preserve">Реализовать стохастическую дискретно-событийную модель в виде программного комплекса на языке Julia. Провести анализ влияния параметров, сравнить со стохастической и детерминированной версиями, оценить производительность и модифицировать модель.</w:t>
      </w:r>
    </w:p>
    <w:bookmarkEnd w:id="21"/>
    <w:bookmarkStart w:id="66" w:name="выполнение-лабораторной-работы"/>
    <w:p>
      <w:pPr>
        <w:pStyle w:val="Heading1"/>
      </w:pPr>
      <w:r>
        <w:t xml:space="preserve">3. Выполнение лабораторной работы</w:t>
      </w:r>
    </w:p>
    <w:p>
      <w:pPr>
        <w:pStyle w:val="FirstParagraph"/>
      </w:pPr>
      <w:r>
        <w:t xml:space="preserve">Создаем рабочий каталог и инициализируем проект в julia (</w:t>
      </w:r>
      <w:hyperlink w:anchor="fig-001">
        <w:r>
          <w:rPr>
            <w:rStyle w:val="Hyperlink"/>
          </w:rPr>
          <w:t xml:space="preserve">рис.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001"/>
          <w:p>
            <w:pPr>
              <w:pStyle w:val="Compact"/>
              <w:jc w:val="center"/>
            </w:pPr>
            <w:r>
              <w:drawing>
                <wp:inline>
                  <wp:extent cx="3733800" cy="1181426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image/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18142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Инициализация проекта</w:t>
            </w:r>
          </w:p>
          <w:bookmarkEnd w:id="25"/>
        </w:tc>
      </w:tr>
    </w:tbl>
    <w:p>
      <w:pPr>
        <w:pStyle w:val="BodyText"/>
      </w:pPr>
      <w:r>
        <w:t xml:space="preserve">Создаем файл, где прописываем пакеты, необходимые для выполнения работы и запускаем его (</w:t>
      </w:r>
      <w:hyperlink w:anchor="fig-002">
        <w:r>
          <w:rPr>
            <w:rStyle w:val="Hyperlink"/>
          </w:rPr>
          <w:t xml:space="preserve">рис.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002"/>
          <w:p>
            <w:pPr>
              <w:pStyle w:val="Compact"/>
              <w:jc w:val="center"/>
            </w:pPr>
            <w:r>
              <w:drawing>
                <wp:inline>
                  <wp:extent cx="3733800" cy="226927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image/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2692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Подключение необходимых пакетов</w:t>
            </w:r>
          </w:p>
          <w:bookmarkEnd w:id="29"/>
        </w:tc>
      </w:tr>
    </w:tbl>
    <w:p>
      <w:pPr>
        <w:pStyle w:val="BodyText"/>
      </w:pPr>
      <w:r>
        <w:t xml:space="preserve">Создаем файл в папке src, реализуем в нем модель SIR, определяем структуру данных, входные данные, прописываем функции мутации масивов статистики (</w:t>
      </w:r>
      <w:hyperlink w:anchor="fig-003">
        <w:r>
          <w:rPr>
            <w:rStyle w:val="Hyperlink"/>
          </w:rPr>
          <w:t xml:space="preserve">рис. 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003"/>
          <w:p>
            <w:pPr>
              <w:pStyle w:val="Compact"/>
              <w:jc w:val="center"/>
            </w:pPr>
            <w:r>
              <w:drawing>
                <wp:inline>
                  <wp:extent cx="3733800" cy="1441677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image/3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4416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Создание файла для реализации SIR</w:t>
            </w:r>
          </w:p>
          <w:bookmarkEnd w:id="33"/>
        </w:tc>
      </w:tr>
    </w:tbl>
    <w:p>
      <w:pPr>
        <w:pStyle w:val="BodyText"/>
      </w:pPr>
      <w:r>
        <w:t xml:space="preserve">Прописываем и запускаем скрипт запуска, прописываем начальные параметры и запускаем симуляцию (</w:t>
      </w:r>
      <w:hyperlink w:anchor="fig-004">
        <w:r>
          <w:rPr>
            <w:rStyle w:val="Hyperlink"/>
          </w:rPr>
          <w:t xml:space="preserve">рис.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004"/>
          <w:p>
            <w:pPr>
              <w:pStyle w:val="Compact"/>
              <w:jc w:val="center"/>
            </w:pPr>
            <w:r>
              <w:drawing>
                <wp:inline>
                  <wp:extent cx="3733800" cy="1501692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image/4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016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Скрипт симуляции</w:t>
            </w:r>
          </w:p>
          <w:bookmarkEnd w:id="37"/>
        </w:tc>
      </w:tr>
    </w:tbl>
    <w:p>
      <w:pPr>
        <w:pStyle w:val="BodyText"/>
      </w:pPr>
      <w:r>
        <w:t xml:space="preserve">Получаем результаты, на которых отлично видно структуру поведения агентов: восприимчивый-зараженный-выздоровевший (</w:t>
      </w:r>
      <w:hyperlink w:anchor="fig-005">
        <w:r>
          <w:rPr>
            <w:rStyle w:val="Hyperlink"/>
          </w:rPr>
          <w:t xml:space="preserve">рис.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005"/>
          <w:p>
            <w:pPr>
              <w:pStyle w:val="Compact"/>
              <w:jc w:val="center"/>
            </w:pPr>
            <w:r>
              <w:drawing>
                <wp:inline>
                  <wp:extent cx="3733800" cy="249128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image/5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912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График</w:t>
            </w:r>
          </w:p>
          <w:bookmarkEnd w:id="41"/>
        </w:tc>
      </w:tr>
    </w:tbl>
    <w:p>
      <w:pPr>
        <w:pStyle w:val="BodyText"/>
      </w:pPr>
      <w:r>
        <w:t xml:space="preserve">Преобразовываем код в произвольные стили и открываем один из них, чтобы убедиться в правильности компиляции (</w:t>
      </w:r>
      <w:hyperlink w:anchor="fig-006">
        <w:r>
          <w:rPr>
            <w:rStyle w:val="Hyperlink"/>
          </w:rPr>
          <w:t xml:space="preserve">рис. 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006"/>
          <w:p>
            <w:pPr>
              <w:pStyle w:val="Compact"/>
              <w:jc w:val="center"/>
            </w:pPr>
            <w:r>
              <w:drawing>
                <wp:inline>
                  <wp:extent cx="3733800" cy="1483104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image/6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4831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Код в стиле jupyter notebook</w:t>
            </w:r>
          </w:p>
          <w:bookmarkEnd w:id="45"/>
        </w:tc>
      </w:tr>
    </w:tbl>
    <w:p>
      <w:pPr>
        <w:pStyle w:val="BodyText"/>
      </w:pPr>
      <w:r>
        <w:t xml:space="preserve">Заменяем экспоненциальное время выздоровления на фиксированную величину 1/γ в файле src (</w:t>
      </w:r>
      <w:hyperlink w:anchor="fig-007">
        <w:r>
          <w:rPr>
            <w:rStyle w:val="Hyperlink"/>
          </w:rPr>
          <w:t xml:space="preserve">рис. 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007"/>
          <w:p>
            <w:pPr>
              <w:pStyle w:val="Compact"/>
              <w:jc w:val="center"/>
            </w:pPr>
            <w:r>
              <w:drawing>
                <wp:inline>
                  <wp:extent cx="3733800" cy="642587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image/7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64258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Замена файла</w:t>
            </w:r>
          </w:p>
          <w:bookmarkEnd w:id="49"/>
        </w:tc>
      </w:tr>
    </w:tbl>
    <w:p>
      <w:pPr>
        <w:pStyle w:val="BodyText"/>
      </w:pPr>
      <w:r>
        <w:t xml:space="preserve">Запускаем файл симуляции и смотрим на результаты до и после, отсутсвуют хвосты распределения и выздоровлее стало более синхронным (</w:t>
      </w:r>
      <w:hyperlink w:anchor="fig-008">
        <w:r>
          <w:rPr>
            <w:rStyle w:val="Hyperlink"/>
          </w:rPr>
          <w:t xml:space="preserve">рис.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008"/>
          <w:p>
            <w:pPr>
              <w:pStyle w:val="Compact"/>
              <w:jc w:val="center"/>
            </w:pPr>
            <w:r>
              <w:drawing>
                <wp:inline>
                  <wp:extent cx="3733800" cy="2170543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image/8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1705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Сравнение графиков</w:t>
            </w:r>
          </w:p>
          <w:bookmarkEnd w:id="53"/>
        </w:tc>
      </w:tr>
    </w:tbl>
    <w:p>
      <w:pPr>
        <w:pStyle w:val="BodyText"/>
      </w:pPr>
      <w:r>
        <w:t xml:space="preserve">Добавляем возможность получать статистические данные в виде таблицы (</w:t>
      </w:r>
      <w:hyperlink w:anchor="fig-009">
        <w:r>
          <w:rPr>
            <w:rStyle w:val="Hyperlink"/>
          </w:rPr>
          <w:t xml:space="preserve">рис.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009"/>
          <w:p>
            <w:pPr>
              <w:pStyle w:val="Compact"/>
              <w:jc w:val="center"/>
            </w:pPr>
            <w:r>
              <w:drawing>
                <wp:inline>
                  <wp:extent cx="3733800" cy="571695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image/9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5716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9: Добавление таблицы</w:t>
            </w:r>
          </w:p>
          <w:bookmarkEnd w:id="57"/>
        </w:tc>
      </w:tr>
    </w:tbl>
    <w:p>
      <w:pPr>
        <w:pStyle w:val="BodyText"/>
      </w:pPr>
      <w:r>
        <w:t xml:space="preserve">Проверяем таблицу с данными (</w:t>
      </w:r>
      <w:hyperlink w:anchor="fig-010">
        <w:r>
          <w:rPr>
            <w:rStyle w:val="Hyperlink"/>
          </w:rPr>
          <w:t xml:space="preserve">рис. 10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010"/>
          <w:p>
            <w:pPr>
              <w:pStyle w:val="Compact"/>
              <w:jc w:val="center"/>
            </w:pPr>
            <w:r>
              <w:drawing>
                <wp:inline>
                  <wp:extent cx="3733800" cy="3481564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image/10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4815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10: Таблица с данными SIR</w:t>
            </w:r>
          </w:p>
          <w:bookmarkEnd w:id="61"/>
        </w:tc>
      </w:tr>
    </w:tbl>
    <w:p>
      <w:pPr>
        <w:pStyle w:val="BodyText"/>
      </w:pPr>
      <w:r>
        <w:t xml:space="preserve">Преобразовываем код в произвольные стили и открываем один из них, чтобы убедиться в правильности компиляции (</w:t>
      </w:r>
      <w:hyperlink w:anchor="fig-011">
        <w:r>
          <w:rPr>
            <w:rStyle w:val="Hyperlink"/>
          </w:rPr>
          <w:t xml:space="preserve">рис. 11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011"/>
          <w:p>
            <w:pPr>
              <w:pStyle w:val="Compact"/>
              <w:jc w:val="center"/>
            </w:pPr>
            <w:r>
              <w:drawing>
                <wp:inline>
                  <wp:extent cx="3733800" cy="168193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image/1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819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11: Код в стиле jupyter notebook</w:t>
            </w:r>
          </w:p>
          <w:bookmarkEnd w:id="65"/>
        </w:tc>
      </w:tr>
    </w:tbl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srcdir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"sir_model.jl"</w:t>
      </w:r>
      <w:r>
        <w:rPr>
          <w:rStyle w:val="NormalTok"/>
        </w:rPr>
        <w:t xml:space="preserve">))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Random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StatsPlots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BenchmarkTools</w:t>
      </w:r>
    </w:p>
    <w:p>
      <w:pPr>
        <w:pStyle w:val="FirstParagraph"/>
      </w:pPr>
      <w:r>
        <w:t xml:space="preserve">Параметры модели</w:t>
      </w:r>
    </w:p>
    <w:p>
      <w:pPr>
        <w:pStyle w:val="SourceCode"/>
      </w:pPr>
      <w:r>
        <w:rPr>
          <w:rStyle w:val="NormalTok"/>
        </w:rPr>
        <w:t xml:space="preserve">tmax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40.0</w:t>
      </w:r>
      <w:r>
        <w:br/>
      </w:r>
      <w:r>
        <w:rPr>
          <w:rStyle w:val="NormalTok"/>
        </w:rPr>
        <w:t xml:space="preserve">u0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990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</w:t>
      </w:r>
      <w:r>
        <w:rPr>
          <w:rStyle w:val="NormalTok"/>
        </w:rPr>
        <w:t xml:space="preserve">]      </w:t>
      </w:r>
      <w:r>
        <w:rPr>
          <w:rStyle w:val="CommentTok"/>
        </w:rPr>
        <w:t xml:space="preserve"># S, I, R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β, c, γ</w:t>
      </w:r>
      <w:r>
        <w:br/>
      </w:r>
      <w:r>
        <w:br/>
      </w:r>
      <w:r>
        <w:rPr>
          <w:rStyle w:val="BuiltInTok"/>
        </w:rPr>
        <w:t xml:space="preserve">Random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seed!</w:t>
      </w:r>
      <w:r>
        <w:rPr>
          <w:rStyle w:val="NormalTok"/>
        </w:rPr>
        <w:t xml:space="preserve">(</w:t>
      </w:r>
      <w:r>
        <w:rPr>
          <w:rStyle w:val="FloatTok"/>
        </w:rPr>
        <w:t xml:space="preserve">1234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Запуск модели</w:t>
      </w:r>
    </w:p>
    <w:p>
      <w:pPr>
        <w:pStyle w:val="SourceCode"/>
      </w:pPr>
      <w:r>
        <w:rPr>
          <w:rStyle w:val="NormalTok"/>
        </w:rPr>
        <w:t xml:space="preserve">des_model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MakeSIRModel</w:t>
      </w:r>
      <w:r>
        <w:rPr>
          <w:rStyle w:val="NormalTok"/>
        </w:rPr>
        <w:t xml:space="preserve">(u0, p)</w:t>
      </w:r>
      <w:r>
        <w:br/>
      </w:r>
      <w:r>
        <w:rPr>
          <w:rStyle w:val="FunctionTok"/>
        </w:rPr>
        <w:t xml:space="preserve">activate</w:t>
      </w:r>
      <w:r>
        <w:rPr>
          <w:rStyle w:val="NormalTok"/>
        </w:rPr>
        <w:t xml:space="preserve">(des_model)</w:t>
      </w:r>
      <w:r>
        <w:br/>
      </w:r>
      <w:r>
        <w:rPr>
          <w:rStyle w:val="FunctionTok"/>
        </w:rPr>
        <w:t xml:space="preserve">sir_run</w:t>
      </w:r>
      <w:r>
        <w:rPr>
          <w:rStyle w:val="NormalTok"/>
        </w:rPr>
        <w:t xml:space="preserve">(des_model, tmax)</w:t>
      </w:r>
      <w:r>
        <w:br/>
      </w:r>
      <w:r>
        <w:rPr>
          <w:rStyle w:val="NormalTok"/>
        </w:rPr>
        <w:t xml:space="preserve">data_des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</w:t>
      </w:r>
      <w:r>
        <w:rPr>
          <w:rStyle w:val="NormalTok"/>
        </w:rPr>
        <w:t xml:space="preserve">(des_model)</w:t>
      </w:r>
    </w:p>
    <w:p>
      <w:pPr>
        <w:pStyle w:val="FirstParagraph"/>
      </w:pPr>
      <w:r>
        <w:t xml:space="preserve">Визуализация</w:t>
      </w:r>
    </w:p>
    <w:p>
      <w:pPr>
        <w:pStyle w:val="SourceCode"/>
      </w:pPr>
      <w:r>
        <w:rPr>
          <w:rStyle w:val="PreprocessorTok"/>
        </w:rPr>
        <w:t xml:space="preserve">@df</w:t>
      </w:r>
      <w:r>
        <w:rPr>
          <w:rStyle w:val="NormalTok"/>
        </w:rPr>
        <w:t xml:space="preserve"> data_des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t,</w:t>
      </w:r>
      <w:r>
        <w:br/>
      </w:r>
      <w:r>
        <w:rPr>
          <w:rStyle w:val="NormalTok"/>
        </w:rPr>
        <w:t xml:space="preserve">    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R],</w:t>
      </w:r>
      <w:r>
        <w:br/>
      </w:r>
      <w:r>
        <w:rPr>
          <w:rStyle w:val="NormalTok"/>
        </w:rPr>
        <w:t xml:space="preserve">    labels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xlab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"Время"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"Численность"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"Дискретно-событийная SIR модель"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"sir_des.png"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srcdir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"sir_model.jl"</w:t>
      </w:r>
      <w:r>
        <w:rPr>
          <w:rStyle w:val="NormalTok"/>
        </w:rPr>
        <w:t xml:space="preserve">))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Random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StatsPlots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BenchmarkTools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CSV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Dates</w:t>
      </w:r>
    </w:p>
    <w:p>
      <w:pPr>
        <w:pStyle w:val="FirstParagraph"/>
      </w:pPr>
      <w:r>
        <w:t xml:space="preserve">Параметры модели</w:t>
      </w:r>
    </w:p>
    <w:p>
      <w:pPr>
        <w:pStyle w:val="SourceCode"/>
      </w:pPr>
      <w:r>
        <w:rPr>
          <w:rStyle w:val="NormalTok"/>
        </w:rPr>
        <w:t xml:space="preserve">tmax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40.0</w:t>
      </w:r>
      <w:r>
        <w:br/>
      </w:r>
      <w:r>
        <w:rPr>
          <w:rStyle w:val="NormalTok"/>
        </w:rPr>
        <w:t xml:space="preserve">u0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990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</w:t>
      </w:r>
      <w:r>
        <w:rPr>
          <w:rStyle w:val="NormalTok"/>
        </w:rPr>
        <w:t xml:space="preserve">]      </w:t>
      </w:r>
      <w:r>
        <w:rPr>
          <w:rStyle w:val="CommentTok"/>
        </w:rPr>
        <w:t xml:space="preserve"># S, I, R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β, c, γ</w:t>
      </w:r>
      <w:r>
        <w:br/>
      </w:r>
      <w:r>
        <w:br/>
      </w:r>
      <w:r>
        <w:rPr>
          <w:rStyle w:val="BuiltInTok"/>
        </w:rPr>
        <w:t xml:space="preserve">Random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seed!</w:t>
      </w:r>
      <w:r>
        <w:rPr>
          <w:rStyle w:val="NormalTok"/>
        </w:rPr>
        <w:t xml:space="preserve">(</w:t>
      </w:r>
      <w:r>
        <w:rPr>
          <w:rStyle w:val="FloatTok"/>
        </w:rPr>
        <w:t xml:space="preserve">1234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Запуск модели</w:t>
      </w:r>
    </w:p>
    <w:p>
      <w:pPr>
        <w:pStyle w:val="SourceCode"/>
      </w:pPr>
      <w:r>
        <w:rPr>
          <w:rStyle w:val="NormalTok"/>
        </w:rPr>
        <w:t xml:space="preserve">des_model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MakeSIRModel</w:t>
      </w:r>
      <w:r>
        <w:rPr>
          <w:rStyle w:val="NormalTok"/>
        </w:rPr>
        <w:t xml:space="preserve">(u0, p)</w:t>
      </w:r>
      <w:r>
        <w:br/>
      </w:r>
      <w:r>
        <w:rPr>
          <w:rStyle w:val="FunctionTok"/>
        </w:rPr>
        <w:t xml:space="preserve">activate</w:t>
      </w:r>
      <w:r>
        <w:rPr>
          <w:rStyle w:val="NormalTok"/>
        </w:rPr>
        <w:t xml:space="preserve">(des_model)</w:t>
      </w:r>
      <w:r>
        <w:br/>
      </w:r>
      <w:r>
        <w:rPr>
          <w:rStyle w:val="FunctionTok"/>
        </w:rPr>
        <w:t xml:space="preserve">sir_run</w:t>
      </w:r>
      <w:r>
        <w:rPr>
          <w:rStyle w:val="NormalTok"/>
        </w:rPr>
        <w:t xml:space="preserve">(des_model, tmax)</w:t>
      </w:r>
      <w:r>
        <w:br/>
      </w:r>
      <w:r>
        <w:rPr>
          <w:rStyle w:val="NormalTok"/>
        </w:rPr>
        <w:t xml:space="preserve">data_des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</w:t>
      </w:r>
      <w:r>
        <w:rPr>
          <w:rStyle w:val="NormalTok"/>
        </w:rPr>
        <w:t xml:space="preserve">(des_model)</w:t>
      </w:r>
    </w:p>
    <w:p>
      <w:pPr>
        <w:pStyle w:val="FirstParagraph"/>
      </w:pPr>
      <w:r>
        <w:t xml:space="preserve">Визуализация</w:t>
      </w:r>
    </w:p>
    <w:p>
      <w:pPr>
        <w:pStyle w:val="SourceCode"/>
      </w:pPr>
      <w:r>
        <w:rPr>
          <w:rStyle w:val="PreprocessorTok"/>
        </w:rPr>
        <w:t xml:space="preserve">@df</w:t>
      </w:r>
      <w:r>
        <w:rPr>
          <w:rStyle w:val="NormalTok"/>
        </w:rPr>
        <w:t xml:space="preserve"> data_des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t,</w:t>
      </w:r>
      <w:r>
        <w:br/>
      </w:r>
      <w:r>
        <w:rPr>
          <w:rStyle w:val="NormalTok"/>
        </w:rPr>
        <w:t xml:space="preserve">    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R],</w:t>
      </w:r>
      <w:r>
        <w:br/>
      </w:r>
      <w:r>
        <w:rPr>
          <w:rStyle w:val="NormalTok"/>
        </w:rPr>
        <w:t xml:space="preserve">    labels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xlab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"Время"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"Численность"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"Дискретно-событийная SIR модель"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"sir_des.png"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filename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"sir_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(u0[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])</w:t>
      </w:r>
      <w:r>
        <w:rPr>
          <w:rStyle w:val="StringTok"/>
        </w:rPr>
        <w:t xml:space="preserve">_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(u0[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])</w:t>
      </w:r>
      <w:r>
        <w:rPr>
          <w:rStyle w:val="StringTok"/>
        </w:rPr>
        <w:t xml:space="preserve">_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])</w:t>
      </w:r>
      <w:r>
        <w:rPr>
          <w:rStyle w:val="StringTok"/>
        </w:rPr>
        <w:t xml:space="preserve">_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])</w:t>
      </w:r>
      <w:r>
        <w:rPr>
          <w:rStyle w:val="StringTok"/>
        </w:rPr>
        <w:t xml:space="preserve">_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(p[</w:t>
      </w:r>
      <w:r>
        <w:rPr>
          <w:rStyle w:val="FloatTok"/>
        </w:rPr>
        <w:t xml:space="preserve">3</w:t>
      </w:r>
      <w:r>
        <w:rPr>
          <w:rStyle w:val="NormalTok"/>
        </w:rPr>
        <w:t xml:space="preserve">])</w:t>
      </w:r>
      <w:r>
        <w:rPr>
          <w:rStyle w:val="StringTok"/>
        </w:rPr>
        <w:t xml:space="preserve">.csv"</w:t>
      </w:r>
      <w:r>
        <w:br/>
      </w:r>
      <w:r>
        <w:rPr>
          <w:rStyle w:val="NormalTok"/>
        </w:rPr>
        <w:t xml:space="preserve">CSV.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"sims"</w:t>
      </w:r>
      <w:r>
        <w:rPr>
          <w:rStyle w:val="NormalTok"/>
        </w:rPr>
        <w:t xml:space="preserve">, filename), data_des)</w:t>
      </w:r>
    </w:p>
    <w:bookmarkEnd w:id="66"/>
    <w:bookmarkStart w:id="67" w:name="выводы"/>
    <w:p>
      <w:pPr>
        <w:pStyle w:val="Heading1"/>
      </w:pPr>
      <w:r>
        <w:t xml:space="preserve">4. Выводы</w:t>
      </w:r>
    </w:p>
    <w:p>
      <w:pPr>
        <w:pStyle w:val="FirstParagraph"/>
      </w:pPr>
      <w:r>
        <w:t xml:space="preserve">В данной работе мы изучили и применили дискретно-событийное моделирование.</w:t>
      </w:r>
    </w:p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image" Id="rId54" Target="media/rId5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№8</dc:title>
  <dc:creator>Андрей Геннадьевич Софич</dc:creator>
  <dc:language>ru-RU</dc:language>
  <cp:keywords/>
  <dcterms:created xsi:type="dcterms:W3CDTF">2026-05-30T12:51:43Z</dcterms:created>
  <dcterms:modified xsi:type="dcterms:W3CDTF">2026-05-30T12:51:43Z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julia">
    <vt:lpwstr/>
  </property>
  <property fmtid="{D5CDD505-2E9C-101B-9397-08002B2CF9AE}" pid="14" name="labels">
    <vt:lpwstr/>
  </property>
  <property fmtid="{D5CDD505-2E9C-101B-9397-08002B2CF9AE}" pid="15" name="license">
    <vt:lpwstr/>
  </property>
  <property fmtid="{D5CDD505-2E9C-101B-9397-08002B2CF9AE}" pid="16" name="subtitle">
    <vt:lpwstr>Реализация основных моделей в дискретно-событийном подходе</vt:lpwstr>
  </property>
  <property fmtid="{D5CDD505-2E9C-101B-9397-08002B2CF9AE}" pid="17" name="toc-title">
    <vt:lpwstr>Содержание</vt:lpwstr>
  </property>
</Properties>
</file>