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№2</w:t>
      </w:r>
    </w:p>
    <w:p>
      <w:pPr>
        <w:pStyle w:val="Subtitle"/>
      </w:pPr>
      <w:r>
        <w:t xml:space="preserve">Информационная безопасность</w:t>
      </w:r>
    </w:p>
    <w:p>
      <w:pPr>
        <w:pStyle w:val="Author"/>
      </w:pPr>
      <w:r>
        <w:t xml:space="preserve">Софич Андрей Геннадьевич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преобретение навыков работы в консоли с атрибутами файлов и получение информации о разграничении доступа в системе Linux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Работа с атрибутами файлов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Заполнение таблицы</w:t>
      </w:r>
      <w:r>
        <w:t xml:space="preserve"> </w:t>
      </w:r>
      <w:r>
        <w:t xml:space="preserve">“Установленные права и разрешенные действия”</w:t>
      </w:r>
    </w:p>
    <w:p>
      <w:pPr>
        <w:pStyle w:val="Compact"/>
        <w:numPr>
          <w:ilvl w:val="0"/>
          <w:numId w:val="1001"/>
        </w:numPr>
      </w:pPr>
      <w:r>
        <w:t xml:space="preserve">Заполнение таблицы</w:t>
      </w:r>
      <w:r>
        <w:t xml:space="preserve"> </w:t>
      </w:r>
      <w:r>
        <w:t xml:space="preserve">“Минимальные права для совершения операции”</w:t>
      </w:r>
    </w:p>
    <w:bookmarkEnd w:id="21"/>
    <w:bookmarkStart w:id="7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оперционной системе создаю нового</w:t>
      </w:r>
      <w:r>
        <w:t xml:space="preserve"> </w:t>
      </w:r>
      <w:r>
        <w:t xml:space="preserve">“гостевого”</w:t>
      </w:r>
      <w:r>
        <w:t xml:space="preserve"> </w:t>
      </w:r>
      <w:r>
        <w:t xml:space="preserve">пользователя через учетную запись администратора (рис. 1).</w:t>
      </w:r>
    </w:p>
    <w:bookmarkStart w:id="25" w:name="fig:001"/>
    <w:p>
      <w:pPr>
        <w:pStyle w:val="CaptionedFigure"/>
      </w:pPr>
      <w:r>
        <w:drawing>
          <wp:inline>
            <wp:extent cx="3733800" cy="2333625"/>
            <wp:effectExtent b="0" l="0" r="0" t="0"/>
            <wp:docPr descr="Рис. 1: Создание нового пользователя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нового пользователя</w:t>
      </w:r>
    </w:p>
    <w:bookmarkEnd w:id="25"/>
    <w:p>
      <w:pPr>
        <w:pStyle w:val="BodyText"/>
      </w:pPr>
      <w:r>
        <w:t xml:space="preserve">Придумываю и подтверждаю пароль для нового пользователя (рис. 2).</w:t>
      </w:r>
    </w:p>
    <w:bookmarkStart w:id="29" w:name="fig:002"/>
    <w:p>
      <w:pPr>
        <w:pStyle w:val="CaptionedFigure"/>
      </w:pPr>
      <w:r>
        <w:drawing>
          <wp:inline>
            <wp:extent cx="3733800" cy="694791"/>
            <wp:effectExtent b="0" l="0" r="0" t="0"/>
            <wp:docPr descr="Рис. 2: Пароль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4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Пароль</w:t>
      </w:r>
    </w:p>
    <w:bookmarkEnd w:id="29"/>
    <w:p>
      <w:pPr>
        <w:pStyle w:val="BodyText"/>
      </w:pPr>
      <w:r>
        <w:t xml:space="preserve">Перезагружаю систему и захожу как новый пользователь guest (рис. 3).</w:t>
      </w:r>
    </w:p>
    <w:bookmarkStart w:id="33" w:name="fig:003"/>
    <w:p>
      <w:pPr>
        <w:pStyle w:val="CaptionedFigure"/>
      </w:pPr>
      <w:r>
        <w:drawing>
          <wp:inline>
            <wp:extent cx="3733800" cy="2249392"/>
            <wp:effectExtent b="0" l="0" r="0" t="0"/>
            <wp:docPr descr="Рис. 3: Подключение к новому аккаунту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9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Подключение к новому аккаунту</w:t>
      </w:r>
    </w:p>
    <w:bookmarkEnd w:id="33"/>
    <w:p>
      <w:pPr>
        <w:pStyle w:val="BodyText"/>
      </w:pPr>
      <w:r>
        <w:t xml:space="preserve">Уточняю имя пользователяю, также с помощью команды pwd убедился, что я нахожусь в домашней директории (рис. 4).</w:t>
      </w:r>
    </w:p>
    <w:bookmarkStart w:id="37" w:name="fig:004"/>
    <w:p>
      <w:pPr>
        <w:pStyle w:val="CaptionedFigure"/>
      </w:pPr>
      <w:r>
        <w:drawing>
          <wp:inline>
            <wp:extent cx="3311090" cy="452387"/>
            <wp:effectExtent b="0" l="0" r="0" t="0"/>
            <wp:docPr descr="Рис. 4: Образ диск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090" cy="452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Образ диска</w:t>
      </w:r>
    </w:p>
    <w:bookmarkEnd w:id="37"/>
    <w:p>
      <w:pPr>
        <w:pStyle w:val="BodyText"/>
      </w:pPr>
      <w:r>
        <w:t xml:space="preserve">Запускаю команду id, так как тут можно найти информацию об имени пользователя имени группы а так же их коды, если ввести команду groups, то узнаем только название группы (рис. 5).</w:t>
      </w:r>
    </w:p>
    <w:bookmarkStart w:id="41" w:name="fig:005"/>
    <w:p>
      <w:pPr>
        <w:pStyle w:val="CaptionedFigure"/>
      </w:pPr>
      <w:r>
        <w:drawing>
          <wp:inline>
            <wp:extent cx="3733800" cy="664867"/>
            <wp:effectExtent b="0" l="0" r="0" t="0"/>
            <wp:docPr descr="Рис. 5: Команда id и groups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4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id и groups</w:t>
      </w:r>
    </w:p>
    <w:bookmarkEnd w:id="41"/>
    <w:p>
      <w:pPr>
        <w:pStyle w:val="BodyText"/>
      </w:pPr>
      <w:r>
        <w:t xml:space="preserve">Получаю информацию о пользователе, получаю коды пользователя и адрес домашней дирректории (рис. 6).</w:t>
      </w:r>
    </w:p>
    <w:bookmarkStart w:id="45" w:name="fig:006"/>
    <w:p>
      <w:pPr>
        <w:pStyle w:val="CaptionedFigure"/>
      </w:pPr>
      <w:r>
        <w:drawing>
          <wp:inline>
            <wp:extent cx="3733800" cy="302230"/>
            <wp:effectExtent b="0" l="0" r="0" t="0"/>
            <wp:docPr descr="Рис. 6: Команда cat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Команда cat</w:t>
      </w:r>
    </w:p>
    <w:bookmarkEnd w:id="45"/>
    <w:p>
      <w:pPr>
        <w:pStyle w:val="BodyText"/>
      </w:pPr>
      <w:r>
        <w:t xml:space="preserve">С помощью команды ls -l у меня получилось увидеть список дирректорий home, мы так же можем увидеть и список root, если домавим ключ -a (рис. 7).</w:t>
      </w:r>
    </w:p>
    <w:bookmarkStart w:id="49" w:name="fig:007"/>
    <w:p>
      <w:pPr>
        <w:pStyle w:val="CaptionedFigure"/>
      </w:pPr>
      <w:r>
        <w:drawing>
          <wp:inline>
            <wp:extent cx="3733800" cy="1214417"/>
            <wp:effectExtent b="0" l="0" r="0" t="0"/>
            <wp:docPr descr="Рис. 7: Просмотр содержимого директории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4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Просмотр содержимого директории</w:t>
      </w:r>
    </w:p>
    <w:bookmarkEnd w:id="49"/>
    <w:p>
      <w:pPr>
        <w:pStyle w:val="BodyText"/>
      </w:pPr>
      <w:r>
        <w:t xml:space="preserve">Расширенные атрибуты мне проверить не удалось (рис. 8).</w:t>
      </w:r>
    </w:p>
    <w:bookmarkStart w:id="53" w:name="fig:008"/>
    <w:p>
      <w:pPr>
        <w:pStyle w:val="CaptionedFigure"/>
      </w:pPr>
      <w:r>
        <w:drawing>
          <wp:inline>
            <wp:extent cx="3733800" cy="348761"/>
            <wp:effectExtent b="0" l="0" r="0" t="0"/>
            <wp:docPr descr="Рис. 8: Проверка расширенных атрибутов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 расширенных атрибутов</w:t>
      </w:r>
    </w:p>
    <w:bookmarkEnd w:id="53"/>
    <w:p>
      <w:pPr>
        <w:pStyle w:val="BodyText"/>
      </w:pPr>
      <w:r>
        <w:t xml:space="preserve">Создаю каталог dirl с помощью команды ls -l мне удалось посмотреть атрибуты данной директории (рис. 9).</w:t>
      </w:r>
    </w:p>
    <w:bookmarkStart w:id="57" w:name="fig:009"/>
    <w:p>
      <w:pPr>
        <w:pStyle w:val="CaptionedFigure"/>
      </w:pPr>
      <w:r>
        <w:drawing>
          <wp:inline>
            <wp:extent cx="3733800" cy="2156138"/>
            <wp:effectExtent b="0" l="0" r="0" t="0"/>
            <wp:docPr descr="Рис. 9: 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6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каталога</w:t>
      </w:r>
    </w:p>
    <w:bookmarkEnd w:id="57"/>
    <w:p>
      <w:pPr>
        <w:pStyle w:val="BodyText"/>
      </w:pPr>
      <w:r>
        <w:t xml:space="preserve">Снимаю атрибуты и уверяюсь,что при проверке все возможности дейстивтельно сняты (рис. 10).</w:t>
      </w:r>
    </w:p>
    <w:bookmarkStart w:id="61" w:name="fig:010"/>
    <w:p>
      <w:pPr>
        <w:pStyle w:val="CaptionedFigure"/>
      </w:pPr>
      <w:r>
        <w:drawing>
          <wp:inline>
            <wp:extent cx="3733800" cy="1631329"/>
            <wp:effectExtent b="0" l="0" r="0" t="0"/>
            <wp:docPr descr="Рис. 10: Команда chmod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1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Команда chmod</w:t>
      </w:r>
    </w:p>
    <w:bookmarkEnd w:id="61"/>
    <w:p>
      <w:pPr>
        <w:pStyle w:val="BodyText"/>
      </w:pPr>
      <w:r>
        <w:t xml:space="preserve">Пытаюсь записать</w:t>
      </w:r>
      <w:r>
        <w:t xml:space="preserve"> </w:t>
      </w:r>
      <w:r>
        <w:t xml:space="preserve">“test”</w:t>
      </w:r>
      <w:r>
        <w:t xml:space="preserve"> </w:t>
      </w:r>
      <w:r>
        <w:t xml:space="preserve">и создать файл в новой дирректории, но из-за нехватки прав возможности нет (рис. 11).</w:t>
      </w:r>
    </w:p>
    <w:bookmarkStart w:id="65" w:name="fig:011"/>
    <w:p>
      <w:pPr>
        <w:pStyle w:val="CaptionedFigure"/>
      </w:pPr>
      <w:r>
        <w:drawing>
          <wp:inline>
            <wp:extent cx="3733800" cy="222657"/>
            <wp:effectExtent b="0" l="0" r="0" t="0"/>
            <wp:docPr descr="Рис. 11: Отказ в создании файла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Отказ в создании файла</w:t>
      </w:r>
    </w:p>
    <w:bookmarkEnd w:id="65"/>
    <w:p>
      <w:pPr>
        <w:pStyle w:val="BodyText"/>
      </w:pPr>
      <w:r>
        <w:t xml:space="preserve">Вернув права уверяюсь, что файл так и не был создан (рис. 12).</w:t>
      </w:r>
    </w:p>
    <w:bookmarkStart w:id="69" w:name="fig:012"/>
    <w:p>
      <w:pPr>
        <w:pStyle w:val="CaptionedFigure"/>
      </w:pPr>
      <w:r>
        <w:drawing>
          <wp:inline>
            <wp:extent cx="3733800" cy="907417"/>
            <wp:effectExtent b="0" l="0" r="0" t="0"/>
            <wp:docPr descr="Рис. 12: Вазвращение прав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7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Вазвращение прав</w:t>
      </w:r>
    </w:p>
    <w:bookmarkEnd w:id="69"/>
    <w:bookmarkStart w:id="74" w:name="заполнение-таблицы-2.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Заполнение таблицы 2.1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</w:tblGrid>
      <w:tr>
        <w:tc>
          <w:tcPr/>
          <w:p>
            <w:pPr>
              <w:pStyle w:val="Compact"/>
            </w:pPr>
            <w:r>
              <w:t xml:space="preserve">Права директории</w:t>
            </w:r>
          </w:p>
        </w:tc>
        <w:tc>
          <w:tcPr/>
          <w:p>
            <w:pPr>
              <w:pStyle w:val="Compact"/>
            </w:pPr>
            <w:r>
              <w:t xml:space="preserve">Права файла</w:t>
            </w:r>
          </w:p>
        </w:tc>
        <w:tc>
          <w:tcPr/>
          <w:p>
            <w:pPr>
              <w:pStyle w:val="Compac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</w:pPr>
            <w:r>
              <w:t xml:space="preserve">Смена директории</w:t>
            </w:r>
          </w:p>
        </w:tc>
        <w:tc>
          <w:tcPr/>
          <w:p>
            <w:pPr>
              <w:pStyle w:val="Compact"/>
            </w:pPr>
            <w:r>
              <w:t xml:space="preserve">Просмотр файлов в директории</w:t>
            </w:r>
          </w:p>
        </w:tc>
        <w:tc>
          <w:tcPr/>
          <w:p>
            <w:pPr>
              <w:pStyle w:val="Compact"/>
            </w:pPr>
            <w:r>
              <w:t xml:space="preserve">Переимено- вание файла</w:t>
            </w:r>
          </w:p>
        </w:tc>
        <w:tc>
          <w:tcPr/>
          <w:p>
            <w:pPr>
              <w:pStyle w:val="Compact"/>
            </w:pPr>
            <w:r>
              <w:t xml:space="preserve">Смена атрибутов файла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d(000)</w:t>
            </w:r>
          </w:p>
        </w:tc>
        <w:tc>
          <w:tcPr/>
          <w:p>
            <w:pPr>
              <w:pStyle w:val="Compact"/>
            </w:pPr>
            <w:r>
              <w:t xml:space="preserve">(000)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d(000)</w:t>
            </w:r>
          </w:p>
        </w:tc>
        <w:tc>
          <w:tcPr/>
          <w:p>
            <w:pPr>
              <w:pStyle w:val="Compact"/>
            </w:pPr>
            <w:r>
              <w:t xml:space="preserve">(100)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d(000)</w:t>
            </w:r>
          </w:p>
        </w:tc>
        <w:tc>
          <w:tcPr/>
          <w:p>
            <w:pPr>
              <w:pStyle w:val="Compact"/>
            </w:pPr>
            <w:r>
              <w:t xml:space="preserve">(200)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d(000)</w:t>
            </w:r>
          </w:p>
        </w:tc>
        <w:tc>
          <w:tcPr/>
          <w:p>
            <w:pPr>
              <w:pStyle w:val="Compact"/>
            </w:pPr>
            <w:r>
              <w:t xml:space="preserve">(300)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d(000)</w:t>
            </w:r>
          </w:p>
        </w:tc>
        <w:tc>
          <w:tcPr/>
          <w:p>
            <w:pPr>
              <w:pStyle w:val="Compact"/>
            </w:pPr>
            <w:r>
              <w:t xml:space="preserve">(400)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d(000)</w:t>
            </w:r>
          </w:p>
        </w:tc>
        <w:tc>
          <w:tcPr/>
          <w:p>
            <w:pPr>
              <w:pStyle w:val="Compact"/>
            </w:pPr>
            <w:r>
              <w:t xml:space="preserve">(500)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d(000)</w:t>
            </w:r>
          </w:p>
        </w:tc>
        <w:tc>
          <w:tcPr/>
          <w:p>
            <w:pPr>
              <w:pStyle w:val="Compact"/>
            </w:pPr>
            <w:r>
              <w:t xml:space="preserve">(600)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d(000)</w:t>
            </w:r>
          </w:p>
        </w:tc>
        <w:tc>
          <w:tcPr/>
          <w:p>
            <w:pPr>
              <w:pStyle w:val="Compact"/>
            </w:pPr>
            <w:r>
              <w:t xml:space="preserve">(700)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  <w:r>
              <w:t xml:space="preserve">(000)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  <w:r>
              <w:t xml:space="preserve">(100)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  <w:r>
              <w:t xml:space="preserve">(200)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  <w:r>
              <w:t xml:space="preserve">(300)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  <w:r>
              <w:t xml:space="preserve">(400)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  <w:r>
              <w:t xml:space="preserve">(500)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  <w:r>
              <w:t xml:space="preserve">(600)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  <w:r>
              <w:t xml:space="preserve">(700)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d(200)</w:t>
            </w:r>
          </w:p>
        </w:tc>
        <w:tc>
          <w:tcPr/>
          <w:p>
            <w:pPr>
              <w:pStyle w:val="Compact"/>
            </w:pPr>
            <w:r>
              <w:t xml:space="preserve">(000)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d(200)</w:t>
            </w:r>
          </w:p>
        </w:tc>
        <w:tc>
          <w:tcPr/>
          <w:p>
            <w:pPr>
              <w:pStyle w:val="Compact"/>
            </w:pPr>
            <w:r>
              <w:t xml:space="preserve">(100)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d(200)</w:t>
            </w:r>
          </w:p>
        </w:tc>
        <w:tc>
          <w:tcPr/>
          <w:p>
            <w:pPr>
              <w:pStyle w:val="Compact"/>
            </w:pPr>
            <w:r>
              <w:t xml:space="preserve">(200)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d(200)</w:t>
            </w:r>
          </w:p>
        </w:tc>
        <w:tc>
          <w:tcPr/>
          <w:p>
            <w:pPr>
              <w:pStyle w:val="Compact"/>
            </w:pPr>
            <w:r>
              <w:t xml:space="preserve">(300)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d(200)</w:t>
            </w:r>
          </w:p>
        </w:tc>
        <w:tc>
          <w:tcPr/>
          <w:p>
            <w:pPr>
              <w:pStyle w:val="Compact"/>
            </w:pPr>
            <w:r>
              <w:t xml:space="preserve">(400)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d(200)</w:t>
            </w:r>
          </w:p>
        </w:tc>
        <w:tc>
          <w:tcPr/>
          <w:p>
            <w:pPr>
              <w:pStyle w:val="Compact"/>
            </w:pPr>
            <w:r>
              <w:t xml:space="preserve">(500)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d(200)</w:t>
            </w:r>
          </w:p>
        </w:tc>
        <w:tc>
          <w:tcPr/>
          <w:p>
            <w:pPr>
              <w:pStyle w:val="Compact"/>
            </w:pPr>
            <w:r>
              <w:t xml:space="preserve">(600)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d(200)</w:t>
            </w:r>
          </w:p>
        </w:tc>
        <w:tc>
          <w:tcPr/>
          <w:p>
            <w:pPr>
              <w:pStyle w:val="Compact"/>
            </w:pPr>
            <w:r>
              <w:t xml:space="preserve">(700)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  <w:r>
              <w:t xml:space="preserve">(000)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  <w:r>
              <w:t xml:space="preserve">(100)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  <w:r>
              <w:t xml:space="preserve">(200)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  <w:r>
              <w:t xml:space="preserve">(300)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  <w:r>
              <w:t xml:space="preserve">(400)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  <w:r>
              <w:t xml:space="preserve">(500)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  <w:r>
              <w:t xml:space="preserve">(600)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  <w:r>
              <w:t xml:space="preserve">(700)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d(400)</w:t>
            </w:r>
          </w:p>
        </w:tc>
        <w:tc>
          <w:tcPr/>
          <w:p>
            <w:pPr>
              <w:pStyle w:val="Compact"/>
            </w:pPr>
            <w:r>
              <w:t xml:space="preserve">(000)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d(400)</w:t>
            </w:r>
          </w:p>
        </w:tc>
        <w:tc>
          <w:tcPr/>
          <w:p>
            <w:pPr>
              <w:pStyle w:val="Compact"/>
            </w:pPr>
            <w:r>
              <w:t xml:space="preserve">(100)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d(400)</w:t>
            </w:r>
          </w:p>
        </w:tc>
        <w:tc>
          <w:tcPr/>
          <w:p>
            <w:pPr>
              <w:pStyle w:val="Compact"/>
            </w:pPr>
            <w:r>
              <w:t xml:space="preserve">(200)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d(400)</w:t>
            </w:r>
          </w:p>
        </w:tc>
        <w:tc>
          <w:tcPr/>
          <w:p>
            <w:pPr>
              <w:pStyle w:val="Compact"/>
            </w:pPr>
            <w:r>
              <w:t xml:space="preserve">(300)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d(400)</w:t>
            </w:r>
          </w:p>
        </w:tc>
        <w:tc>
          <w:tcPr/>
          <w:p>
            <w:pPr>
              <w:pStyle w:val="Compact"/>
            </w:pPr>
            <w:r>
              <w:t xml:space="preserve">(400)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d(400)</w:t>
            </w:r>
          </w:p>
        </w:tc>
        <w:tc>
          <w:tcPr/>
          <w:p>
            <w:pPr>
              <w:pStyle w:val="Compact"/>
            </w:pPr>
            <w:r>
              <w:t xml:space="preserve">(500)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d(400)</w:t>
            </w:r>
          </w:p>
        </w:tc>
        <w:tc>
          <w:tcPr/>
          <w:p>
            <w:pPr>
              <w:pStyle w:val="Compact"/>
            </w:pPr>
            <w:r>
              <w:t xml:space="preserve">(600)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d(400)</w:t>
            </w:r>
          </w:p>
        </w:tc>
        <w:tc>
          <w:tcPr/>
          <w:p>
            <w:pPr>
              <w:pStyle w:val="Compact"/>
            </w:pPr>
            <w:r>
              <w:t xml:space="preserve">(700)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d(500)</w:t>
            </w:r>
          </w:p>
        </w:tc>
        <w:tc>
          <w:tcPr/>
          <w:p>
            <w:pPr>
              <w:pStyle w:val="Compact"/>
            </w:pPr>
            <w:r>
              <w:t xml:space="preserve">(000)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d(500)</w:t>
            </w:r>
          </w:p>
        </w:tc>
        <w:tc>
          <w:tcPr/>
          <w:p>
            <w:pPr>
              <w:pStyle w:val="Compact"/>
            </w:pPr>
            <w:r>
              <w:t xml:space="preserve">(100)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d(500)</w:t>
            </w:r>
          </w:p>
        </w:tc>
        <w:tc>
          <w:tcPr/>
          <w:p>
            <w:pPr>
              <w:pStyle w:val="Compact"/>
            </w:pPr>
            <w:r>
              <w:t xml:space="preserve">(200)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d(500)</w:t>
            </w:r>
          </w:p>
        </w:tc>
        <w:tc>
          <w:tcPr/>
          <w:p>
            <w:pPr>
              <w:pStyle w:val="Compact"/>
            </w:pPr>
            <w:r>
              <w:t xml:space="preserve">(300)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d(500)</w:t>
            </w:r>
          </w:p>
        </w:tc>
        <w:tc>
          <w:tcPr/>
          <w:p>
            <w:pPr>
              <w:pStyle w:val="Compact"/>
            </w:pPr>
            <w:r>
              <w:t xml:space="preserve">(400)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d(500)</w:t>
            </w:r>
          </w:p>
        </w:tc>
        <w:tc>
          <w:tcPr/>
          <w:p>
            <w:pPr>
              <w:pStyle w:val="Compact"/>
            </w:pPr>
            <w:r>
              <w:t xml:space="preserve">(500)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d(500)</w:t>
            </w:r>
          </w:p>
        </w:tc>
        <w:tc>
          <w:tcPr/>
          <w:p>
            <w:pPr>
              <w:pStyle w:val="Compact"/>
            </w:pPr>
            <w:r>
              <w:t xml:space="preserve">(600)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d(500)</w:t>
            </w:r>
          </w:p>
        </w:tc>
        <w:tc>
          <w:tcPr/>
          <w:p>
            <w:pPr>
              <w:pStyle w:val="Compact"/>
            </w:pPr>
            <w:r>
              <w:t xml:space="preserve">(700)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d(600)</w:t>
            </w:r>
          </w:p>
        </w:tc>
        <w:tc>
          <w:tcPr/>
          <w:p>
            <w:pPr>
              <w:pStyle w:val="Compact"/>
            </w:pPr>
            <w:r>
              <w:t xml:space="preserve">(000)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d(600)</w:t>
            </w:r>
          </w:p>
        </w:tc>
        <w:tc>
          <w:tcPr/>
          <w:p>
            <w:pPr>
              <w:pStyle w:val="Compact"/>
            </w:pPr>
            <w:r>
              <w:t xml:space="preserve">(100)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d(600)</w:t>
            </w:r>
          </w:p>
        </w:tc>
        <w:tc>
          <w:tcPr/>
          <w:p>
            <w:pPr>
              <w:pStyle w:val="Compact"/>
            </w:pPr>
            <w:r>
              <w:t xml:space="preserve">(200)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d(600)</w:t>
            </w:r>
          </w:p>
        </w:tc>
        <w:tc>
          <w:tcPr/>
          <w:p>
            <w:pPr>
              <w:pStyle w:val="Compact"/>
            </w:pPr>
            <w:r>
              <w:t xml:space="preserve">(300)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d(600)</w:t>
            </w:r>
          </w:p>
        </w:tc>
        <w:tc>
          <w:tcPr/>
          <w:p>
            <w:pPr>
              <w:pStyle w:val="Compact"/>
            </w:pPr>
            <w:r>
              <w:t xml:space="preserve">(400)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d(600)</w:t>
            </w:r>
          </w:p>
        </w:tc>
        <w:tc>
          <w:tcPr/>
          <w:p>
            <w:pPr>
              <w:pStyle w:val="Compact"/>
            </w:pPr>
            <w:r>
              <w:t xml:space="preserve">(500)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d(600)</w:t>
            </w:r>
          </w:p>
        </w:tc>
        <w:tc>
          <w:tcPr/>
          <w:p>
            <w:pPr>
              <w:pStyle w:val="Compact"/>
            </w:pPr>
            <w:r>
              <w:t xml:space="preserve">(600)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d(600)</w:t>
            </w:r>
          </w:p>
        </w:tc>
        <w:tc>
          <w:tcPr/>
          <w:p>
            <w:pPr>
              <w:pStyle w:val="Compact"/>
            </w:pPr>
            <w:r>
              <w:t xml:space="preserve">(700)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d(700)</w:t>
            </w:r>
          </w:p>
        </w:tc>
        <w:tc>
          <w:tcPr/>
          <w:p>
            <w:pPr>
              <w:pStyle w:val="Compact"/>
            </w:pPr>
            <w:r>
              <w:t xml:space="preserve">(000)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d(700)</w:t>
            </w:r>
          </w:p>
        </w:tc>
        <w:tc>
          <w:tcPr/>
          <w:p>
            <w:pPr>
              <w:pStyle w:val="Compact"/>
            </w:pPr>
            <w:r>
              <w:t xml:space="preserve">(100)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d(700)</w:t>
            </w:r>
          </w:p>
        </w:tc>
        <w:tc>
          <w:tcPr/>
          <w:p>
            <w:pPr>
              <w:pStyle w:val="Compact"/>
            </w:pPr>
            <w:r>
              <w:t xml:space="preserve">(200)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d(700)</w:t>
            </w:r>
          </w:p>
        </w:tc>
        <w:tc>
          <w:tcPr/>
          <w:p>
            <w:pPr>
              <w:pStyle w:val="Compact"/>
            </w:pPr>
            <w:r>
              <w:t xml:space="preserve">(300)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d(700)</w:t>
            </w:r>
          </w:p>
        </w:tc>
        <w:tc>
          <w:tcPr/>
          <w:p>
            <w:pPr>
              <w:pStyle w:val="Compact"/>
            </w:pPr>
            <w:r>
              <w:t xml:space="preserve">(400)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d(700)</w:t>
            </w:r>
          </w:p>
        </w:tc>
        <w:tc>
          <w:tcPr/>
          <w:p>
            <w:pPr>
              <w:pStyle w:val="Compact"/>
            </w:pPr>
            <w:r>
              <w:t xml:space="preserve">(500)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d(700)</w:t>
            </w:r>
          </w:p>
        </w:tc>
        <w:tc>
          <w:tcPr/>
          <w:p>
            <w:pPr>
              <w:pStyle w:val="Compact"/>
            </w:pPr>
            <w:r>
              <w:t xml:space="preserve">(600)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d(700)</w:t>
            </w:r>
          </w:p>
        </w:tc>
        <w:tc>
          <w:tcPr/>
          <w:p>
            <w:pPr>
              <w:pStyle w:val="Compact"/>
            </w:pPr>
            <w:r>
              <w:t xml:space="preserve">(700)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</w:tbl>
    <w:p>
      <w:pPr>
        <w:pStyle w:val="BodyText"/>
      </w:pPr>
      <w:r>
        <w:t xml:space="preserve">Пример заполения таблицы (рис. 13).</w:t>
      </w:r>
    </w:p>
    <w:bookmarkStart w:id="73" w:name="fig:013"/>
    <w:p>
      <w:pPr>
        <w:pStyle w:val="CaptionedFigure"/>
      </w:pPr>
      <w:r>
        <w:drawing>
          <wp:inline>
            <wp:extent cx="3733800" cy="2150756"/>
            <wp:effectExtent b="0" l="0" r="0" t="0"/>
            <wp:docPr descr="Рис. 13: Возвращение прав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0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Возвращение прав</w:t>
      </w:r>
    </w:p>
    <w:bookmarkEnd w:id="73"/>
    <w:bookmarkEnd w:id="74"/>
    <w:bookmarkStart w:id="75" w:name="заполение-таблицы-2.2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Заполение таблицы 2.2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1584"/>
        <w:gridCol w:w="1584"/>
        <w:gridCol w:w="1584"/>
        <w:gridCol w:w="1584"/>
        <w:gridCol w:w="1584"/>
      </w:tblGrid>
      <w:tr>
        <w:tc>
          <w:tcPr/>
          <w:p>
            <w:pPr>
              <w:pStyle w:val="Compact"/>
            </w:pPr>
            <w:r>
              <w:t xml:space="preserve">Операция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Минимальные права на директорию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Минимальные права на файл</w:t>
            </w:r>
          </w:p>
        </w:tc>
      </w:tr>
      <w:tr>
        <w:tc>
          <w:tcPr/>
          <w:p>
            <w:pPr>
              <w:pStyle w:val="Compac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(400)</w:t>
            </w:r>
          </w:p>
        </w:tc>
      </w:tr>
      <w:tr>
        <w:tc>
          <w:tcPr/>
          <w:p>
            <w:pPr>
              <w:pStyle w:val="Compac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(200)</w:t>
            </w:r>
          </w:p>
        </w:tc>
      </w:tr>
      <w:tr>
        <w:tc>
          <w:tcPr/>
          <w:p>
            <w:pPr>
              <w:pStyle w:val="Compact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(000)</w:t>
            </w:r>
          </w:p>
        </w:tc>
      </w:tr>
      <w:tr>
        <w:tc>
          <w:tcPr/>
          <w:p>
            <w:pPr>
              <w:pStyle w:val="Compact"/>
            </w:pPr>
            <w:r>
              <w:t xml:space="preserve">Создание поддиректории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Удаление поддиректории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</w:tbl>
    <w:bookmarkEnd w:id="75"/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Цель работы была достигнута и навыки были получены.</w:t>
      </w:r>
    </w:p>
    <w:bookmarkEnd w:id="77"/>
    <w:bookmarkStart w:id="78" w:name="список-литературы"/>
    <w:p>
      <w:pPr>
        <w:pStyle w:val="Heading1"/>
      </w:pPr>
      <w:r>
        <w:t xml:space="preserve">Список литературы</w:t>
      </w:r>
    </w:p>
    <w:bookmarkEnd w:id="78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Софич Андрей Геннадьевич</dc:creator>
  <dc:language>ru-RU</dc:language>
  <cp:keywords/>
  <dcterms:created xsi:type="dcterms:W3CDTF">2025-03-01T14:46:17Z</dcterms:created>
  <dcterms:modified xsi:type="dcterms:W3CDTF">2025-03-01T14:46:17Z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List of Tables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Информационная безопасность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