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Proposta de Projeto Integrador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/0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/2025   Grupo: Funcionou na minha máquina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ind w:left="36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Nome Projeto: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MeuTDAH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ind w:left="36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Nome Usuário no GitHub: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@Andreycn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ind w:left="36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Grupo de Alunos: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2 Alunos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2"/>
        <w:gridCol w:w="4788"/>
        <w:gridCol w:w="3101"/>
        <w:tblGridChange w:id="0">
          <w:tblGrid>
            <w:gridCol w:w="1412"/>
            <w:gridCol w:w="4788"/>
            <w:gridCol w:w="31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RA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0030482323043</w:t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Andrey Covas Nogueira</w:t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andrey.nogueira@fatec.sp.gov.br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0030482511036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Lídia Oliveira Esteves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828"/>
        </w:tabs>
        <w:spacing w:line="276" w:lineRule="auto"/>
        <w:ind w:left="36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Compreensão do Problema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Transtorno de Déficit de Atenção e Hiperatividade (TDAH) é uma condição neurobiológica que afeta diretamente a capacidade de manter foco, organizar atividades e lembrar compromissos. Pessoas com TDAH frequentemente enfrentam dificuldades em gerenciar o tempo, lidar com prazos, manter constância em tarefas rotineiras e lembrar-se de compromissos importantes. Essas dificuldades podem gerar estresse, frustração e até impactos significativos no desempenho acadêmico, profissional e na vida pessoal.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Segundo a Associação Brasileira do Déficit de Atenção (ABDA, 2023), o TDAH afeta cerca de 5% da população mundial, impactando diretamente a organização, foco e cumprimento de atividades diárias. De acordo com Barkley (2014), tais dificuldades tendem a aumentar em ambientes com excesso de estímulos, como redes sociais, notificações e múltiplas demandas simultâneas.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Nesse contexto, surge a necessidade de ferramentas que considerem as especificidades do TDAH e que possam auxiliar na organização do dia a dia, na gestão do tempo e na criação de lembretes eficazes para evitar esquecimentos recorrentes.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jc w:val="both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Além disso, o excesso de estímulos do cotidiano moderno, como redes sociais, notificações e múltiplas demandas simultâneas, potencializa os desafios enfrentados por esse público. A dificuldade em priorizar, filtrar informações relevantes e criar hábitos consistentes compromete não apenas a produtividade, mas também o bem-estar emocional e social. Nesse contexto, surge a necessidade de ferramentas que considerem as especificidades do TDAH e que possam auxiliar na organização do dia a dia, na gestão do tempo e na criação de lembretes eficazes para evitar esquecimentos recorrentes.</w:t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Proposta de Solução de Software e Viabilidade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proposta é desenvolver um aplicativo móvel para auxiliar pessoas com TDAH na organização de suas rotinas, com interface visual clara, dinâmica e adaptada às necessidades dessa condição. O sistema permitirá agendamento rápido de tarefas, criação de lembretes personalizados e acompanhamento visual do progresso, tornando a gestão do tempo mais prática e acessível.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Para engajar o usuário, o aplicativo incorporará elementos de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gamificação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como recompensas, metas diárias e evolução de desempenho, incentivando a constância nos hábitos. Além disso, o app utilizará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inteligência artificial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para aprender sobre o comportamento de cada usuário, adaptando lembretes, notificações e sugestões de tarefas de forma personalizada. A IA também dará vida a uma mascote virtual, que atuará como “melhor amigo” do usuário, motivando, reforçando conquistas e oferecendo suporte diário de forma acolhedora e divertida.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 principais objetivos são: aumentar a autonomia, reduzir esquecimentos, tornar o cumprimento das atividades mais motivador e menos cansativo, e proporcionar uma experiência personalizada e empática. A viabilidade do projeto está na crescente procura por soluções digitais de produtividade e no fato de que o app se diferencia ao oferecer recursos realmente pensados para o público com TDAH, unindo tecnologia, design inclusivo, gamificação e impacto positivo no bem-estar do usuário.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Visão Geral dos Pré-Requisitos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Atributos do Sistema (o que o sistema deve ser ou ter):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Interface simples, intuitiva e visualmente amigável, adaptada para usuários com TDAH.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Personalização de cores, sons e estilos de notificação conforme preferência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Elementos de gamificação (pontos, níveis, conquistas, recompensas).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Design inclusivo, acessível e responsivo para diferentes dispositivos móveis.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Baixo consumo de bateria e funcionamento offline para maior usabilidade.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Segurança e privacidade dos dados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Funções do Sistema (o que o sistema deve fazer):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Permitir cadastro, edição e exclusão de tarefas, compromissos e lembretes.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Emitir notificações personalizadas (visuais, sonoras e vibratórias) em horários configurados.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Oferecer acompanhamento visual de progresso (barras, checklists, mascotes virtuais).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Disponibilizar temporizadores com intervalos de foco e pausas (ex.: técnica Pomodoro adaptada).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Gerar relatórios semanais de desempenho e constância nos hábitos.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Sincronizar dados com a nuvem para backup e acesso em múltiplos dispositivos.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Conceitos e Tecnologias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Conceitos 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TDAH e Neurodiversidade: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compreensão das dificuldades cognitivas relacionadas à atenção, organização e memória, orientando o design do sistema para ser acessível e inclusivo.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Gamificação: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aplicação de elementos de jogos (pontos, níveis, conquistas) para aumentar o engajamento e incentivar hábitos consistentes.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UX/UI Adaptada: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interface clara, com cores, ícones e estímulos visuais que favoreçam foco e usabilidade para pessoas com TDAH.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Gerenciamento de Tempo: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uso de técnicas como listas de tarefas, checklists e método Pomodoro adaptado.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Computação em Nuvem: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para armazenamento de dados, sincronização entre dispositivos e segurança das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Tecnologias Iniciais: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Frontend (aplicativo móvel):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React Native ou Flutter para desenvolvimento multiplataforma (Android/iOS).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Backend (servidor e API):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Node.js com Express ou Django (Python) para lógica de negócios e comunicação.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Banco de Dados: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Firebase Firestore ou PostgreSQL, dependendo da necessidade de escalabilidade.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Autenticação e Segurança: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Firebase Authentication ou JWT (JSON Web Tokens).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Notificações Push: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Firebase Cloud Messaging (FCM) ou OneSignal.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Hospedagem/Infraestrutura: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Firebase Hosting, AWS ou Google Cloud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Design e Protótipos: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Figma para criação de interfaces visuais e fluxos de navegação.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708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Situação atual (estado-da-arte)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Atualmente, existem diversos aplicativos de produtividade e gerenciamento de tempo, como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Google Agenda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Todoist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Notion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Trello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que oferecem funções de organização, lembretes e acompanhamento de tarefas. Entretanto, essas soluções não foram desenvolvidas com foco em pessoas com TDAH, o que as torna, muitas vezes, complexas, excessivamente personalizáveis ou visualmente poluídas. Esse excesso de recursos e a falta de elementos adaptados às necessidades específicas dificultam o uso contínuo, gerando frustração e abandono precoce da ferramenta.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Outros aplicativos voltados para foco e hábitos, como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Forest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(que utiliza gamificação com árvores virtuais) ou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Habitica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(que transforma hábitos em RPG), apresentam ideias interessantes, mas ainda não oferecem uma experiência personalizada para TDAH. Nesses casos, há carência de recursos de acessibilidade, de notificações mais assertivas e de interfaces simples, diretas e visuais, capazes de reduzir a sobrecarga cognitiva desse público.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Para garantir que o desenvolvimento atenda às reais demandas, será conduzida uma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pesquisa exploratória com possíveis usuários diagnosticados com TDAH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 objetivo é compreender suas principais dificuldades na organização da rotina, quais recursos mais valorizam em um aplicativo, como preferem receber notificações e quais estímulos visuais ou de gamificação são mais motivadores. Essa pesquisa fornecerá insumos fundamentais para definir funcionalidades prioritárias e validar as escolhas de design e usabilidade.</w:t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708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Estimativa de custo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1. Ferramentas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IDEs e ambientes de programação: uso de ferramentas gratuitas como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Visual Studio Code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(R$ 0).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Prototipagem e design: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Figma (plano profissional)</w:t>
      </w:r>
      <w:sdt>
        <w:sdtPr>
          <w:id w:val="1917019027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 → ~R$ 120/mês.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2. Hospedagem 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Firebase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(autenticação, banco de dados e notificações push): plano gratuito inicial, podendo chegar a ~R$ 100–300/mês conforme escala.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Alternativa em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AWS ou Google Cloud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 ~R$ 150–400/mês para servidores e banco de dados básicos.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3. Publicação nas Lojas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Google Play Store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 taxa única de US$ 25 (~R$ 130).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Apple App Store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 assinatura anual de US$ 99 (~R$ 520/ano).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4. Custos de Equipe (estimativa mínima)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Desenvolvedor mobile full-stack (freelancer ou equipe reduzida): ~R$ 8.000–12.000/mês.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Designer UI/UX: ~R$ 3.000–5.000/mês (ou por projeto).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Total estimado para 3 meses de desenvolvimento: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~R$ 35.000 a R$ 50.000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5. Custos Operacionais Iniciais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Hospedagem e serviços em nuvem: ~R$ 300/mês.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40" w:line="276" w:lineRule="auto"/>
        <w:ind w:left="709" w:hanging="283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Ferramentas extras (controle de versão, gestão de tarefas): GitHub e Trello gratuitos ou versões premium a partir de ~R$ 50/mês.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left="708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left="708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Exemplos de tabelas Estimativas de custos</w:t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COLOCAR REFERENCIAS DE ONDE TIROU OS VALORES</w:t>
      </w:r>
    </w:p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7lunm66l5rdg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Tabela 1 - Estimativa de custos de implantação</w:t>
      </w:r>
    </w:p>
    <w:tbl>
      <w:tblPr>
        <w:tblStyle w:val="Table2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135"/>
        <w:gridCol w:w="3135"/>
        <w:tblGridChange w:id="0">
          <w:tblGrid>
            <w:gridCol w:w="3135"/>
            <w:gridCol w:w="3135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Serviço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Custo mensal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Custo anual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AWS Amplify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USD 1 (equivalente a R$ 5,65)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USD 12 (equivalente a R$ 67,82)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Amazon EC2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USD 15 (equivalente a R$ 85,09)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USD 180 (equivalente a R$ 1.021,17)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Domínio Hostinger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R$ 3,33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R$ 39,99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R$ 4,49 (por conta de e-mail) *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R$ 107,76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 estimado (R$)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R$ 111,11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R$ 1.236,74</w:t>
            </w:r>
          </w:p>
        </w:tc>
      </w:tr>
    </w:tbl>
    <w:p w:rsidR="00000000" w:rsidDel="00000000" w:rsidP="00000000" w:rsidRDefault="00000000" w:rsidRPr="00000000" w14:paraId="0000007E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Tabela 2 - Estimativa de custos de implantação</w:t>
      </w:r>
    </w:p>
    <w:tbl>
      <w:tblPr>
        <w:tblStyle w:val="Table3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135"/>
        <w:gridCol w:w="3135"/>
        <w:tblGridChange w:id="0">
          <w:tblGrid>
            <w:gridCol w:w="3135"/>
            <w:gridCol w:w="3135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Serviço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Custo mensal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Custo anual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AWS Amplify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USD 1 (equivalente a R$ 5,65)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USD 12 (equivalente a R$ 67,82)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Amazon EC2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USD 15 (equivalente a R$ 85,09)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USD 180 (equivalente a R$ 1.021,17)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Domínio Hostinger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R$ 3,33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R$ 39,99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R$ 4,49 (por conta de e-mail) *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R$ 107,76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 estimado (R$)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R$ 111,11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R$ 1.236,74</w:t>
            </w:r>
          </w:p>
        </w:tc>
      </w:tr>
    </w:tbl>
    <w:p w:rsidR="00000000" w:rsidDel="00000000" w:rsidP="00000000" w:rsidRDefault="00000000" w:rsidRPr="00000000" w14:paraId="00000095">
      <w:pPr>
        <w:spacing w:line="276" w:lineRule="auto"/>
        <w:ind w:left="708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ind w:left="708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Glossário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TDAH (Transtorno de Déficit de Atenção e Hiperatividade):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Condição neurobiológica caracterizada por dificuldades em manter atenção, controlar impulsos e organizar tarefas.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Gamificação: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Aplicação de elementos de jogos (pontos, níveis, recompensas) em contextos não-lúdicos para aumentar engajamento e motivação.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Notificação Push: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Mensagem enviada diretamente ao dispositivo do usuário para alertar sobre tarefas, lembretes ou eventos importantes.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Checklist: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Lista de tarefas ou atividades que podem ser marcadas conforme são concluídas, facilitando a organização.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Pomodoro: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Técnica de gestão de tempo que divide o trabalho em blocos de foco (geralmente 25 minutos) intercalados com pausas curtas.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UX (User Experience):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Experiência do usuário ao interagir com um sistema ou aplicativo, incluindo facilidade de uso e satisfação.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UI (User Interface):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Interface visual do aplicativo, incluindo elementos gráficos, botões, cores e layout.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Neurodiversidade: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Reconhecimento das variações naturais do funcionamento do cérebro humano, incluindo TDAH, autismo e outras condições cognitivas.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Back-end: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Parte do sistema responsável pela lógica de negócio, processamento de dados e comunicação com o banco de dados.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Front-end: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Parte do sistema visível ao usuário, responsável pela interface e interação direta com o aplicativo.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Banco de Dados: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Sistema que armazena informações do aplicativo, como tarefas, lembretes e dados de usuários.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Sincronização em Nuvem: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Processo que mantém dados atualizados e acessíveis em diferentes dispositivos, garantindo backup e continuidade.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Acessibilidade: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Conjunto de práticas de design que tornam o aplicativo utilizável por pessoas com diferentes capacidades cognitivas ou físicas.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Mascote Virtual: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Elemento gráfico ou personagem dentro do aplicativo usado para motivar, engajar e fornecer feedback visual ao usuário.</w:t>
      </w:r>
    </w:p>
    <w:p w:rsidR="00000000" w:rsidDel="00000000" w:rsidP="00000000" w:rsidRDefault="00000000" w:rsidRPr="00000000" w14:paraId="000000A6">
      <w:pPr>
        <w:pStyle w:val="Heading2"/>
        <w:keepNext w:val="0"/>
        <w:spacing w:after="80" w:before="360" w:lineRule="auto"/>
        <w:jc w:val="left"/>
        <w:rPr>
          <w:rFonts w:ascii="Arial" w:cs="Arial" w:eastAsia="Arial" w:hAnsi="Arial"/>
          <w:sz w:val="28"/>
          <w:szCs w:val="28"/>
        </w:rPr>
      </w:pPr>
      <w:bookmarkStart w:colFirst="0" w:colLast="0" w:name="_heading=h.jrb033bqdeuc" w:id="1"/>
      <w:bookmarkEnd w:id="1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ABDA –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Associação Brasileira do Déficit de Atenção. Disponível em: https://tdah.org.br/. Acesso em: 18 set. 2025.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BARKLEY, R. A.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Attention-Deficit Hyperactivity Disorder: A Handbook for Diagnosis and Treatment.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4. ed. New York: Guilford Press, 2014.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ROHDE, L. A.; HALPERN, R.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Transtorno de déficit de atenção/hiperatividade: atualização.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Revista Brasileira de Psiquiatria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v. 26, n. 2, p. 1-8, 2004.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AWS. Pricing.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Disponível em: https://aws.amazon.com/pt/pricing/. Acesso em: 16 set. 2025.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AWS Amplify.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Pricing. Disponível em: https://aws.amazon.com/amplify/pricing/. Acesso em: 16 set. 2025.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Google Workspace.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Pricing. Disponível em: https://workspace.google.com/pricing.html. Acesso em: 16 set. 2025.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Hostinger. Planos e Domínios.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Disponível em: https://www.hostinger.com.br/. Acesso em: 16 set. 2025.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1661" w:top="766" w:left="1298" w:right="129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Documento: ES2N-Proposta</w:t>
    </w:r>
  </w:p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i w:val="1"/>
        <w:color w:val="000000"/>
        <w:sz w:val="22"/>
        <w:szCs w:val="22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1 Dólar dos Estados Unidos/USD (220) = 5,6514 Real/BRL (790). Valores baseados na cotação de 05/05/2025, conforme conversão realizada no site do Banco Central: www.bcb.gov.br/conversao. </w:t>
      </w:r>
    </w:p>
  </w:footnote>
  <w:footnote w:id="1"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1 Dólar dos Estados Unidos/USD (220) = 5,6514 Real/BRL (790). Valores baseados na cotação de 05/05/2025, conforme conversão realizada no site do Banco Central: www.bcb.gov.br/conversao. 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53100" cy="714375"/>
          <wp:effectExtent b="0" l="0" r="0" t="0"/>
          <wp:docPr descr="20120201 logo oficio" id="2" name="image1.png"/>
          <a:graphic>
            <a:graphicData uri="http://schemas.openxmlformats.org/drawingml/2006/picture">
              <pic:pic>
                <pic:nvPicPr>
                  <pic:cNvPr descr="20120201 logo ofici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rFonts w:ascii="Arial" w:cs="Arial" w:eastAsia="Arial" w:hAnsi="Arial"/>
        <w:b w:val="1"/>
        <w:color w:val="000000"/>
      </w:rPr>
    </w:pPr>
    <w:r w:rsidDel="00000000" w:rsidR="00000000" w:rsidRPr="00000000">
      <w:rPr>
        <w:rFonts w:ascii="Arial" w:cs="Arial" w:eastAsia="Arial" w:hAnsi="Arial"/>
        <w:b w:val="1"/>
        <w:color w:val="000000"/>
        <w:rtl w:val="0"/>
      </w:rPr>
      <w:t xml:space="preserve">Disciplina: Engenharia de Software 2 – Turma Noite – prof.ª Denilce Veloso</w:t>
    </w:r>
  </w:p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rFonts w:ascii="Arial" w:cs="Arial" w:eastAsia="Arial" w:hAnsi="Arial"/>
        <w:i w:val="1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right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Legenda">
    <w:name w:val="caption"/>
    <w:basedOn w:val="Normal"/>
    <w:next w:val="Normal"/>
    <w:qFormat w:val="1"/>
    <w:rsid w:val="001B64CD"/>
    <w:pPr>
      <w:jc w:val="center"/>
    </w:pPr>
    <w:rPr>
      <w:rFonts w:ascii="Arial" w:cs="Arial" w:hAnsi="Arial"/>
      <w:i w:val="1"/>
      <w:iCs w:val="1"/>
      <w:sz w:val="22"/>
    </w:rPr>
  </w:style>
  <w:style w:type="character" w:styleId="Refdenotaderodap">
    <w:name w:val="footnote reference"/>
    <w:basedOn w:val="Fontepargpadro"/>
    <w:unhideWhenUsed w:val="1"/>
    <w:rsid w:val="001B64CD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2UTCYB0xWg1/rqfVi2/ca53Gaw==">CgMxLjAaJAoBMBIfCh0IB0IZCgVBcmlhbBIQQXJpYWwgVW5pY29kZSBNUzIOaC43bHVubTY2bDVyZGcyDmguanJiMDMzYnFkZXVjOAByITFOcV9YcHQ2M2RldWt5SWR1SDR1a2VFZHA3azVFb1psbA==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2025-09-04T17:56:00Z</dcterms:created>
</cp:coreProperties>
</file>