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Diseño del módulo de consumibles</w:t>
      </w:r>
    </w:p>
    <w:p>
      <w:pPr>
        <w:spacing w:after="240"/>
      </w:pPr>
      <w:r>
        <w:rPr>
          <w:i/>
          <w:iCs/>
          <w:color w:val="595959"/>
        </w:rPr>
        <w:t xml:space="preserve">Subsistema Tecnologías del SGTH · Fase 5.4 · Propuesta para revisar con la Unidad de TIC · 16 de octubre de 2026</w:t>
      </w:r>
    </w:p>
    <w:p>
      <w:pPr>
        <w:spacing w:after="120"/>
      </w:pPr>
      <w:r>
        <w:t xml:space="preserve">Este documento describe cómo se propone llevar en el sistema el tóner, la tinta y los repuestos de impresión que administra TIC. Va con el documento «Preguntas para la Unidad de TIC»: donde una parte depende de una respuesta, se indica el número de la pregunta.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single" w:color="1F6F4A" w:sz="18"/>
              <w:bottom w:val="none" w:color="FFFFFF" w:sz="0"/>
              <w:right w:val="none" w:color="FFFFFF" w:sz="0"/>
            </w:tcBorders>
            <w:shd w:fill="F2F6F4" w:color="auto" w:val="clear"/>
            <w:tcMar>
              <w:top w:type="dxa" w:w="100"/>
              <w:left w:type="dxa" w:w="160"/>
              <w:bottom w:type="dxa" w:w="100"/>
              <w:right w:type="dxa" w:w="140"/>
            </w:tcMar>
          </w:tcPr>
          <w:p>
            <w:pPr>
              <w:keepNext/>
            </w:pPr>
            <w:r>
              <w:rPr>
                <w:b/>
                <w:bCs/>
                <w:color w:val="1F6F4A"/>
                <w:sz w:val="15"/>
                <w:szCs w:val="15"/>
              </w:rPr>
              <w:t xml:space="preserve">EN RESUMEN</w:t>
            </w:r>
          </w:p>
          <w:p>
            <w:pPr>
              <w:spacing w:before="60"/>
            </w:pPr>
            <w:r>
              <w:rPr>
                <w:sz w:val="20"/>
                <w:szCs w:val="20"/>
              </w:rPr>
              <w:t xml:space="preserve">El saldo de cada consumible </w:t>
            </w:r>
            <w:r>
              <w:rPr>
                <w:b/>
                <w:bCs/>
                <w:sz w:val="20"/>
                <w:szCs w:val="20"/>
              </w:rPr>
              <w:t xml:space="preserve">no se escribe a mano</w:t>
            </w:r>
            <w:r>
              <w:rPr>
                <w:sz w:val="20"/>
                <w:szCs w:val="20"/>
              </w:rPr>
              <w:t xml:space="preserve">: sale de los ingresos, las entregas y los ajustes.</w:t>
            </w:r>
          </w:p>
          <w:p>
            <w:pPr>
              <w:spacing w:before="60"/>
            </w:pPr>
            <w:r>
              <w:rPr>
                <w:sz w:val="20"/>
                <w:szCs w:val="20"/>
              </w:rPr>
              <w:t xml:space="preserve">Cada entrega va a una </w:t>
            </w:r>
            <w:r>
              <w:rPr>
                <w:b/>
                <w:bCs/>
                <w:sz w:val="20"/>
                <w:szCs w:val="20"/>
              </w:rPr>
              <w:t xml:space="preserve">impresora concreta del inventario</w:t>
            </w:r>
            <w:r>
              <w:rPr>
                <w:sz w:val="20"/>
                <w:szCs w:val="20"/>
              </w:rPr>
              <w:t xml:space="preserve">, así se sabe cuánto consume cada impresora y cada área.</w:t>
            </w:r>
          </w:p>
          <w:p>
            <w:pPr>
              <w:spacing w:before="60"/>
            </w:pPr>
            <w:r>
              <w:rPr>
                <w:sz w:val="20"/>
                <w:szCs w:val="20"/>
              </w:rPr>
              <w:t xml:space="preserve">Nada se borra: un movimiento mal registrado </w:t>
            </w:r>
            <w:r>
              <w:rPr>
                <w:b/>
                <w:bCs/>
                <w:sz w:val="20"/>
                <w:szCs w:val="20"/>
              </w:rPr>
              <w:t xml:space="preserve">se anula con su motivo</w:t>
            </w:r>
            <w:r>
              <w:rPr>
                <w:sz w:val="20"/>
                <w:szCs w:val="20"/>
              </w:rPr>
              <w:t xml:space="preserve">.</w:t>
            </w:r>
          </w:p>
          <w:p>
            <w:pPr>
              <w:spacing w:before="60"/>
            </w:pPr>
            <w:r>
              <w:rPr>
                <w:sz w:val="20"/>
                <w:szCs w:val="20"/>
              </w:rPr>
              <w:t xml:space="preserve">TIC carga el saldo inicial a mano; las hojas de tóner del Excel no se importan.</w:t>
            </w:r>
          </w:p>
        </w:tc>
      </w:tr>
    </w:tbl>
    <w:p>
      <w:pPr>
        <w:pStyle w:val="Heading1"/>
      </w:pPr>
      <w:r>
        <w:t xml:space="preserve">1. Cómo se lleva hoy</w:t>
      </w:r>
    </w:p>
    <w:p>
      <w:pPr>
        <w:spacing w:after="120"/>
      </w:pPr>
      <w:r>
        <w:t xml:space="preserve">El control está en siete hojas del Excel de inventario de TIC (Inventario P2026):</w:t>
      </w:r>
    </w:p>
    <w:p>
      <w:pPr>
        <w:pStyle w:val="ListParagraph"/>
        <w:numPr>
          <w:ilvl w:val="0"/>
          <w:numId w:val="2"/>
        </w:numPr>
        <w:spacing w:after="60"/>
      </w:pPr>
      <w:r>
        <w:rPr>
          <w:b/>
          <w:bCs/>
        </w:rPr>
        <w:t xml:space="preserve">tONERSSS</w:t>
      </w:r>
      <w:r>
        <w:t xml:space="preserve"> es el catálogo: código, descripción, presentación (unidad o botella), cantidad, y la marca y el modelo de la impresora.</w:t>
      </w:r>
    </w:p>
    <w:p>
      <w:pPr>
        <w:pStyle w:val="ListParagraph"/>
        <w:numPr>
          <w:ilvl w:val="0"/>
          <w:numId w:val="2"/>
        </w:numPr>
        <w:spacing w:after="60"/>
      </w:pPr>
      <w:r>
        <w:rPr>
          <w:b/>
          <w:bCs/>
        </w:rPr>
        <w:t xml:space="preserve">TBC, TBD, Hoja5, Hoja6 y Hoja7</w:t>
      </w:r>
      <w:r>
        <w:t xml:space="preserve"> son tarjetas </w:t>
      </w:r>
      <w:r>
        <w:rPr>
          <w:b/>
          <w:bCs/>
        </w:rPr>
        <w:t xml:space="preserve">por modelo de impresora</w:t>
      </w:r>
      <w:r>
        <w:t xml:space="preserve">. La de la Lexmark MX622DHE cubre las tres impresoras de ese modelo (002033, 002034 y 002035). Cada compra anota la fecha, lo adquirido, lo que queda y la última entrega; debajo van las entregas con la fecha y quién retiró.</w:t>
      </w:r>
    </w:p>
    <w:p>
      <w:pPr>
        <w:pStyle w:val="ListParagraph"/>
        <w:numPr>
          <w:ilvl w:val="0"/>
          <w:numId w:val="2"/>
        </w:numPr>
        <w:spacing w:after="60"/>
      </w:pPr>
      <w:r>
        <w:rPr>
          <w:b/>
          <w:bCs/>
        </w:rPr>
        <w:t xml:space="preserve">Hoja1</w:t>
      </w:r>
      <w:r>
        <w:t xml:space="preserve"> anota las entregas por área y funcionario.</w:t>
      </w:r>
    </w:p>
    <w:p>
      <w:pPr>
        <w:pStyle w:val="ListParagraph"/>
        <w:numPr>
          <w:ilvl w:val="0"/>
          <w:numId w:val="2"/>
        </w:numPr>
        <w:spacing w:after="60"/>
      </w:pPr>
      <w:r>
        <w:t xml:space="preserve">Además del tóner y la tinta, hay unidades de imagen, kits de mantenimiento, cintas para la impresora de credenciales y bandas de transferencia.</w:t>
      </w:r>
    </w:p>
    <w:p>
      <w:pPr>
        <w:spacing w:after="120"/>
      </w:pPr>
      <w:r>
        <w:t xml:space="preserve">Lo que no resuelve el Excel:</w:t>
      </w:r>
    </w:p>
    <w:p>
      <w:pPr>
        <w:pStyle w:val="ListParagraph"/>
        <w:numPr>
          <w:ilvl w:val="0"/>
          <w:numId w:val="2"/>
        </w:numPr>
        <w:spacing w:after="60"/>
      </w:pPr>
      <w:r>
        <w:t xml:space="preserve">El saldo se cuadra a mano y puede no coincidir con las entregas anotadas.</w:t>
      </w:r>
    </w:p>
    <w:p>
      <w:pPr>
        <w:pStyle w:val="ListParagraph"/>
        <w:numPr>
          <w:ilvl w:val="0"/>
          <w:numId w:val="2"/>
        </w:numPr>
        <w:spacing w:after="60"/>
      </w:pPr>
      <w:r>
        <w:t xml:space="preserve">Las entregas no quedan ligadas a la impresora del inventario, así que no se puede saber cuánto consume cada impresora ni cada área en un período.</w:t>
      </w:r>
    </w:p>
    <w:p>
      <w:pPr>
        <w:pStyle w:val="ListParagraph"/>
        <w:numPr>
          <w:ilvl w:val="0"/>
          <w:numId w:val="2"/>
        </w:numPr>
        <w:spacing w:after="60"/>
      </w:pPr>
      <w:r>
        <w:t xml:space="preserve">Cada hoja tiene un formato distinto, con celdas combinadas y fechas escritas como texto.</w:t>
      </w:r>
    </w:p>
    <w:p>
      <w:pPr>
        <w:pStyle w:val="Heading1"/>
      </w:pPr>
      <w:r>
        <w:t xml:space="preserve">2. El catálogo de consumibles</w:t>
      </w:r>
    </w:p>
    <w:p>
      <w:pPr>
        <w:spacing w:after="120"/>
      </w:pPr>
      <w:r>
        <w:t xml:space="preserve">Cada consumible es una ficha con estos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826"/>
        <w:gridCol w:w="1200"/>
      </w:tblGrid>
      <w:tr>
        <w:trPr>
          <w:tblHeader/>
        </w:trPr>
        <w:tc>
          <w:tcPr>
            <w:tcW w:type="dxa" w:w="20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Dato</w:t>
            </w:r>
          </w:p>
        </w:tc>
        <w:tc>
          <w:tcPr>
            <w:tcW w:type="dxa" w:w="5826"/>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Qué es</w:t>
            </w:r>
          </w:p>
        </w:tc>
        <w:tc>
          <w:tcPr>
            <w:tcW w:type="dxa" w:w="12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Obligatorio</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Código de bodega</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El código con que llega de bodega, por ejemplo 0008436. No se repite (pregunta 8).</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No</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Descripción</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Por ejemplo, «Tóner HP CF400A negro».</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Sí</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Tipo</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Tóner, tinta, cartucho, cinta, unidad de imagen, kit de mantenimiento u otro (pregunta 9).</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Sí</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Color</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Negro, cian, magenta, amarillo, tricolor o no aplica.</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No</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Presentación</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Unidad, botella o caja.</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Sí</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Stock mínimo</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Por debajo de esta cantidad se avisa (pregunta 6). Con 0 no se avisa.</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Sí</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Activo</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Lo que ya no se compra se desactiva: deja de ofrecerse, pero conserva su historia.</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Saldo</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No se escribe: lo calcula el sistema con los movimientos.</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w:t>
            </w:r>
          </w:p>
        </w:tc>
      </w:tr>
    </w:tbl>
    <w:p>
      <w:pPr>
        <w:spacing w:after="120"/>
      </w:pPr>
    </w:p>
    <w:p>
      <w:pPr>
        <w:pStyle w:val="Heading1"/>
      </w:pPr>
      <w:r>
        <w:t xml:space="preserve">3. Compatibilidad con las impresoras</w:t>
      </w:r>
    </w:p>
    <w:p>
      <w:pPr>
        <w:spacing w:after="120"/>
      </w:pPr>
      <w:r>
        <w:t xml:space="preserve">Se propone relacionar cada consumible con </w:t>
      </w:r>
      <w:r>
        <w:rPr>
          <w:b/>
          <w:bCs/>
        </w:rPr>
        <w:t xml:space="preserve">modelos de impresora</w:t>
      </w:r>
      <w:r>
        <w:t xml:space="preserve"> (marca y modelo), como en las tarjetas del Excel. Depende de la pregunta 1.</w:t>
      </w:r>
    </w:p>
    <w:p>
      <w:pPr>
        <w:pStyle w:val="ListParagraph"/>
        <w:numPr>
          <w:ilvl w:val="0"/>
          <w:numId w:val="2"/>
        </w:numPr>
        <w:spacing w:after="60"/>
      </w:pPr>
      <w:r>
        <w:t xml:space="preserve">Un consumible sirve a uno o varios modelos, y un modelo usa varios consumibles: uno por color, más la unidad de imagen o el kit.</w:t>
      </w:r>
    </w:p>
    <w:p>
      <w:pPr>
        <w:pStyle w:val="ListParagraph"/>
        <w:numPr>
          <w:ilvl w:val="0"/>
          <w:numId w:val="2"/>
        </w:numPr>
        <w:spacing w:after="60"/>
      </w:pPr>
      <w:r>
        <w:t xml:space="preserve">El modelo se compara sin distinguir mayúsculas ni espacios, así que «LaserJet M551» y «LASERJET  M551» son el mismo.</w:t>
      </w:r>
    </w:p>
    <w:p>
      <w:pPr>
        <w:pStyle w:val="ListParagraph"/>
        <w:numPr>
          <w:ilvl w:val="0"/>
          <w:numId w:val="2"/>
        </w:numPr>
        <w:spacing w:after="60"/>
      </w:pPr>
      <w:r>
        <w:t xml:space="preserve">Junto a cada modelo se ven las impresoras del inventario que coinciden. Un modelo sin impresoras se marca: es la señal de que en alguna ficha está escrito distinto.</w:t>
      </w:r>
    </w:p>
    <w:p>
      <w:pPr>
        <w:pStyle w:val="ListParagraph"/>
        <w:numPr>
          <w:ilvl w:val="0"/>
          <w:numId w:val="2"/>
        </w:numPr>
        <w:spacing w:after="60"/>
      </w:pPr>
      <w:r>
        <w:t xml:space="preserve">Al entregar, el sistema ofrece solo los consumibles compatibles con la impresora elegida. Si falta uno, la compatibilidad se agrega desde la misma pantalla.</w:t>
      </w:r>
    </w:p>
    <w:p>
      <w:pPr>
        <w:spacing w:after="120"/>
      </w:pPr>
      <w:r>
        <w:t xml:space="preserve">Si TIC prefiere relacionarlos impresora por impresora, el resto del diseño no cambia: solo la forma de marcar la compatibilidad.</w:t>
      </w:r>
    </w:p>
    <w:p>
      <w:pPr>
        <w:pStyle w:val="Heading1"/>
      </w:pPr>
      <w:r>
        <w:t xml:space="preserve">4. Los movimientos</w:t>
      </w:r>
    </w:p>
    <w:p>
      <w:pPr>
        <w:spacing w:after="120"/>
      </w:pPr>
      <w:r>
        <w:t xml:space="preserve">Todo lo que cambia el saldo es un movimiento con fecha. La lista de movimientos de un consumible es su kárdex.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6226"/>
        <w:gridCol w:w="1200"/>
      </w:tblGrid>
      <w:tr>
        <w:trPr>
          <w:tblHeader/>
        </w:trPr>
        <w:tc>
          <w:tcPr>
            <w:tcW w:type="dxa" w:w="16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Movimiento</w:t>
            </w:r>
          </w:p>
        </w:tc>
        <w:tc>
          <w:tcPr>
            <w:tcW w:type="dxa" w:w="6226"/>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Qué se anota</w:t>
            </w:r>
          </w:p>
        </w:tc>
        <w:tc>
          <w:tcPr>
            <w:tcW w:type="dxa" w:w="12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Saldo</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Apertura</w:t>
            </w:r>
          </w:p>
        </w:tc>
        <w:tc>
          <w:tcPr>
            <w:tcW w:type="dxa" w:w="62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El saldo contado en bodega el día de arranque. Uno por consumible (pregunta 7).</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Suma</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Ingreso</w:t>
            </w:r>
          </w:p>
        </w:tc>
        <w:tc>
          <w:tcPr>
            <w:tcW w:type="dxa" w:w="62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Fecha, cantidad, fecha de compra o proceso, y el documento con que TIC recibe de bodega (pregunta 8).</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Suma</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Entrega</w:t>
            </w:r>
          </w:p>
        </w:tc>
        <w:tc>
          <w:tcPr>
            <w:tcW w:type="dxa" w:w="62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Fecha, cantidad, la impresora, quién retira (por defecto, el custodio de la impresora) y quién entrega. Opcionalmente, el ticket del pedido (pregunta 3).</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Resta</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Ajuste</w:t>
            </w:r>
          </w:p>
        </w:tc>
        <w:tc>
          <w:tcPr>
            <w:tcW w:type="dxa" w:w="62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Fecha, cantidad a sumar o restar, y el motivo: daño, caducidad, diferencia en el conteo u otro, con el detalle.</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Suma o resta</w:t>
            </w:r>
          </w:p>
        </w:tc>
      </w:tr>
    </w:tbl>
    <w:p>
      <w:pPr>
        <w:spacing w:after="120"/>
      </w:pPr>
    </w:p>
    <w:p>
      <w:pPr>
        <w:pStyle w:val="Heading2"/>
      </w:pPr>
      <w:r>
        <w:t xml:space="preserve">Reglas</w:t>
      </w:r>
    </w:p>
    <w:p>
      <w:pPr>
        <w:pStyle w:val="ListParagraph"/>
        <w:numPr>
          <w:ilvl w:val="0"/>
          <w:numId w:val="2"/>
        </w:numPr>
        <w:spacing w:after="60"/>
      </w:pPr>
      <w:r>
        <w:t xml:space="preserve">No se entrega más de lo que hay: el saldo nunca queda negativo. Si dos personas entregan el mismo consumible a la vez, el sistema atiende una entrega después de la otra.</w:t>
      </w:r>
    </w:p>
    <w:p>
      <w:pPr>
        <w:pStyle w:val="ListParagraph"/>
        <w:numPr>
          <w:ilvl w:val="0"/>
          <w:numId w:val="2"/>
        </w:numPr>
        <w:spacing w:after="60"/>
      </w:pPr>
      <w:r>
        <w:t xml:space="preserve">Solo se entrega a una impresora que no esté dada de baja.</w:t>
      </w:r>
    </w:p>
    <w:p>
      <w:pPr>
        <w:pStyle w:val="ListParagraph"/>
        <w:numPr>
          <w:ilvl w:val="0"/>
          <w:numId w:val="2"/>
        </w:numPr>
        <w:spacing w:after="60"/>
      </w:pPr>
      <w:r>
        <w:t xml:space="preserve">La entrega guarda la </w:t>
      </w:r>
      <w:r>
        <w:rPr>
          <w:b/>
          <w:bCs/>
        </w:rPr>
        <w:t xml:space="preserve">unidad del custodio en ese momento</w:t>
      </w:r>
      <w:r>
        <w:t xml:space="preserve">. Si el servidor cambia de unidad después, el consumo de ese mes sigue contando para la unidad donde estaba.</w:t>
      </w:r>
    </w:p>
    <w:p>
      <w:pPr>
        <w:pStyle w:val="ListParagraph"/>
        <w:numPr>
          <w:ilvl w:val="0"/>
          <w:numId w:val="2"/>
        </w:numPr>
        <w:spacing w:after="60"/>
      </w:pPr>
      <w:r>
        <w:t xml:space="preserve">Un movimiento mal registrado se </w:t>
      </w:r>
      <w:r>
        <w:rPr>
          <w:b/>
          <w:bCs/>
        </w:rPr>
        <w:t xml:space="preserve">anula con su motivo</w:t>
      </w:r>
      <w:r>
        <w:t xml:space="preserve">: deja de contar, pero sigue visible en el kárdex. No se anula un ingreso si con eso el saldo quedaría negativo.</w:t>
      </w:r>
    </w:p>
    <w:p>
      <w:pPr>
        <w:pStyle w:val="ListParagraph"/>
        <w:numPr>
          <w:ilvl w:val="0"/>
          <w:numId w:val="2"/>
        </w:numPr>
        <w:spacing w:after="60"/>
      </w:pPr>
      <w:r>
        <w:t xml:space="preserve">Cada entrega lleva una constancia en PDF solo si TIC lo decide (pregunta 5).</w:t>
      </w:r>
    </w:p>
    <w:p>
      <w:pPr>
        <w:pStyle w:val="Heading1"/>
      </w:pPr>
      <w:r>
        <w:t xml:space="preserve">5. Pantallas</w:t>
      </w:r>
    </w:p>
    <w:p>
      <w:pPr>
        <w:pStyle w:val="Heading2"/>
      </w:pPr>
      <w:r>
        <w:t xml:space="preserve">Tecnologías › Consumibles</w:t>
      </w:r>
    </w:p>
    <w:p>
      <w:pPr>
        <w:pStyle w:val="ListParagraph"/>
        <w:numPr>
          <w:ilvl w:val="0"/>
          <w:numId w:val="2"/>
        </w:numPr>
        <w:spacing w:after="60"/>
      </w:pPr>
      <w:r>
        <w:t xml:space="preserve">El catálogo con el saldo y el stock mínimo de cada consumible. Lo que está por debajo del mínimo se resalta.</w:t>
      </w:r>
    </w:p>
    <w:p>
      <w:pPr>
        <w:pStyle w:val="ListParagraph"/>
        <w:numPr>
          <w:ilvl w:val="0"/>
          <w:numId w:val="2"/>
        </w:numPr>
        <w:spacing w:after="60"/>
      </w:pPr>
      <w:r>
        <w:t xml:space="preserve">Filtros por tipo, por modelo de impresora y por lo que está bajo el mínimo.</w:t>
      </w:r>
    </w:p>
    <w:p>
      <w:pPr>
        <w:pStyle w:val="ListParagraph"/>
        <w:numPr>
          <w:ilvl w:val="0"/>
          <w:numId w:val="2"/>
        </w:numPr>
        <w:spacing w:after="60"/>
      </w:pPr>
      <w:r>
        <w:t xml:space="preserve">Botones «Registrar ingreso» y «Entregar», y «Nuevo consumible» para el catálogo.</w:t>
      </w:r>
    </w:p>
    <w:p>
      <w:pPr>
        <w:pStyle w:val="Heading2"/>
      </w:pPr>
      <w:r>
        <w:t xml:space="preserve">Detalle de un consumible</w:t>
      </w:r>
    </w:p>
    <w:p>
      <w:pPr>
        <w:pStyle w:val="ListParagraph"/>
        <w:numPr>
          <w:ilvl w:val="0"/>
          <w:numId w:val="2"/>
        </w:numPr>
        <w:spacing w:after="60"/>
      </w:pPr>
      <w:r>
        <w:t xml:space="preserve">Sus datos y los modelos compatibles, con las impresoras de cada uno.</w:t>
      </w:r>
    </w:p>
    <w:p>
      <w:pPr>
        <w:pStyle w:val="ListParagraph"/>
        <w:numPr>
          <w:ilvl w:val="0"/>
          <w:numId w:val="2"/>
        </w:numPr>
        <w:spacing w:after="60"/>
      </w:pPr>
      <w:r>
        <w:t xml:space="preserve">El kárdex: cada movimiento con quién lo registró y el saldo que quedó. Desde aquí se registra un ajuste o se anula un movimiento.</w:t>
      </w:r>
    </w:p>
    <w:p>
      <w:pPr>
        <w:pStyle w:val="Heading2"/>
      </w:pPr>
      <w:r>
        <w:t xml:space="preserve">Entregar</w:t>
      </w:r>
    </w:p>
    <w:p>
      <w:pPr>
        <w:pStyle w:val="ListParagraph"/>
        <w:numPr>
          <w:ilvl w:val="0"/>
          <w:numId w:val="2"/>
        </w:numPr>
        <w:spacing w:after="60"/>
      </w:pPr>
      <w:r>
        <w:t xml:space="preserve">Se elige la impresora por su código o con el buscador. Desde el celular también se puede leer su etiqueta QR, con el mismo lector de la constatación física.</w:t>
      </w:r>
    </w:p>
    <w:p>
      <w:pPr>
        <w:pStyle w:val="ListParagraph"/>
        <w:numPr>
          <w:ilvl w:val="0"/>
          <w:numId w:val="2"/>
        </w:numPr>
        <w:spacing w:after="60"/>
      </w:pPr>
      <w:r>
        <w:t xml:space="preserve">Aparecen los consumibles compatibles con su saldo; se marca la cantidad y quién retira.</w:t>
      </w:r>
    </w:p>
    <w:p>
      <w:pPr>
        <w:pStyle w:val="Heading2"/>
      </w:pPr>
      <w:r>
        <w:t xml:space="preserve">En la ficha de la impresora</w:t>
      </w:r>
    </w:p>
    <w:p>
      <w:pPr>
        <w:pStyle w:val="ListParagraph"/>
        <w:numPr>
          <w:ilvl w:val="0"/>
          <w:numId w:val="2"/>
        </w:numPr>
        <w:spacing w:after="60"/>
      </w:pPr>
      <w:r>
        <w:t xml:space="preserve">Una sección «Consumibles» con los compatibles y su saldo, las últimas entregas y cuántos días pasaron desde la última, para ver cada cuánto pide tóner.</w:t>
      </w:r>
    </w:p>
    <w:p>
      <w:pPr>
        <w:pStyle w:val="ListParagraph"/>
        <w:numPr>
          <w:ilvl w:val="0"/>
          <w:numId w:val="2"/>
        </w:numPr>
        <w:spacing w:after="60"/>
      </w:pPr>
      <w:r>
        <w:t xml:space="preserve">El campo de texto «consumible» de la fase 5.3 sale del formulario; lo ya escrito se sigue mostrando como referencia (pregunta 11).</w:t>
      </w:r>
    </w:p>
    <w:p>
      <w:pPr>
        <w:pStyle w:val="Heading1"/>
      </w:pPr>
      <w:r>
        <w:t xml:space="preserve">6. Reportes y tablero</w:t>
      </w:r>
    </w:p>
    <w:p>
      <w:pPr>
        <w:pStyle w:val="ListParagraph"/>
        <w:numPr>
          <w:ilvl w:val="0"/>
          <w:numId w:val="2"/>
        </w:numPr>
        <w:spacing w:after="60"/>
      </w:pPr>
      <w:r>
        <w:rPr>
          <w:b/>
          <w:bCs/>
        </w:rPr>
        <w:t xml:space="preserve">Consumo por período</w:t>
      </w:r>
      <w:r>
        <w:t xml:space="preserve">, en Excel y PDF, agrupado por impresora, por área o por consumible.</w:t>
      </w:r>
    </w:p>
    <w:p>
      <w:pPr>
        <w:pStyle w:val="ListParagraph"/>
        <w:numPr>
          <w:ilvl w:val="0"/>
          <w:numId w:val="2"/>
        </w:numPr>
        <w:spacing w:after="60"/>
      </w:pPr>
      <w:r>
        <w:rPr>
          <w:b/>
          <w:bCs/>
        </w:rPr>
        <w:t xml:space="preserve">Kárdex de un consumible</w:t>
      </w:r>
      <w:r>
        <w:t xml:space="preserve"> entre dos fechas, en Excel.</w:t>
      </w:r>
    </w:p>
    <w:p>
      <w:pPr>
        <w:pStyle w:val="ListParagraph"/>
        <w:numPr>
          <w:ilvl w:val="0"/>
          <w:numId w:val="2"/>
        </w:numPr>
        <w:spacing w:after="60"/>
      </w:pPr>
      <w:r>
        <w:rPr>
          <w:b/>
          <w:bCs/>
        </w:rPr>
        <w:t xml:space="preserve">Saldo a una fecha</w:t>
      </w:r>
      <w:r>
        <w:t xml:space="preserve">, para cuadrar con bodega en el cierre del año.</w:t>
      </w:r>
    </w:p>
    <w:p>
      <w:pPr>
        <w:pStyle w:val="ListParagraph"/>
        <w:numPr>
          <w:ilvl w:val="0"/>
          <w:numId w:val="2"/>
        </w:numPr>
        <w:spacing w:after="60"/>
      </w:pPr>
      <w:r>
        <w:t xml:space="preserve">En el </w:t>
      </w:r>
      <w:r>
        <w:rPr>
          <w:b/>
          <w:bCs/>
        </w:rPr>
        <w:t xml:space="preserve">tablero de Tecnologías</w:t>
      </w:r>
      <w:r>
        <w:t xml:space="preserve">, un bloque con los consumibles bajo el mínimo. El correo al Jefe de TIC depende de la pregunta 6.</w:t>
      </w:r>
    </w:p>
    <w:p>
      <w:pPr>
        <w:pStyle w:val="Heading1"/>
      </w:pPr>
      <w:r>
        <w:t xml:space="preserve">7. Quién hace qué</w:t>
      </w:r>
    </w:p>
    <w:p>
      <w:pPr>
        <w:spacing w:after="120"/>
      </w:pPr>
      <w:r>
        <w:t xml:space="preserve">Se usan los permisos que ya existen; no hace falta un rol nuevo. Depende de la pregunta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400"/>
        <w:gridCol w:w="3000"/>
      </w:tblGrid>
      <w:tr>
        <w:trPr>
          <w:tblHeader/>
        </w:trPr>
        <w:tc>
          <w:tcPr>
            <w:tcW w:type="dxa" w:w="3626"/>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Acción</w:t>
            </w:r>
          </w:p>
        </w:tc>
        <w:tc>
          <w:tcPr>
            <w:tcW w:type="dxa" w:w="24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Permiso</w:t>
            </w:r>
          </w:p>
        </w:tc>
        <w:tc>
          <w:tcPr>
            <w:tcW w:type="dxa" w:w="30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Quién lo tiene hoy</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Ver el catálogo, el kárdex y los reportes</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ver-inventario-ti</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Técnicos, Jefe de TIC y auditor</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Crear y editar consumibles y su compatibilidad</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gestionar-inventario-ti</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Técnicos y Jefe de TIC</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Registrar ingresos, entregas y ajustes</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gestionar-inventario-ti</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Técnicos y Jefe de TIC</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Anular un movimiento</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gestionar-inventario-ti</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Técnicos y Jefe de TIC (o solo el Jefe, si TIC lo decide)</w:t>
            </w:r>
          </w:p>
        </w:tc>
      </w:tr>
    </w:tbl>
    <w:p>
      <w:pPr>
        <w:spacing w:after="120"/>
      </w:pPr>
    </w:p>
    <w:p>
      <w:pPr>
        <w:pStyle w:val="Heading1"/>
      </w:pPr>
      <w:r>
        <w:t xml:space="preserve">8. Plan de trabajo</w:t>
      </w:r>
    </w:p>
    <w:p>
      <w:pPr>
        <w:spacing w:after="120"/>
      </w:pPr>
      <w:r>
        <w:t xml:space="preserve">En tres entregas, cada una revisable por separado: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Entrega</w:t>
            </w:r>
          </w:p>
        </w:tc>
        <w:tc>
          <w:tcPr>
            <w:tcW w:type="dxa" w:w="7626"/>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Contenido</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5.4a</w:t>
            </w:r>
          </w:p>
        </w:tc>
        <w:tc>
          <w:tcPr>
            <w:tcW w:type="dxa" w:w="7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Las tablas, el catálogo, la compatibilidad y los movimientos, con sus reglas y pruebas automáticas.</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5.4b</w:t>
            </w:r>
          </w:p>
        </w:tc>
        <w:tc>
          <w:tcPr>
            <w:tcW w:type="dxa" w:w="7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Las pantallas: catálogo, detalle con kárdex, Registrar ingreso, Entregar (con el lector QR), Ajuste y la sección en la ficha de la impresora.</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5.4c</w:t>
            </w:r>
          </w:p>
        </w:tc>
        <w:tc>
          <w:tcPr>
            <w:tcW w:type="dxa" w:w="7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Los reportes de consumo, el kárdex en Excel, el saldo a una fecha y el bloque del tablero.</w:t>
            </w:r>
          </w:p>
        </w:tc>
      </w:tr>
    </w:tbl>
    <w:p>
      <w:pPr>
        <w:spacing w:after="120"/>
      </w:pPr>
    </w:p>
    <w:p>
      <w:pPr>
        <w:spacing w:after="120"/>
      </w:pPr>
      <w:r>
        <w:t xml:space="preserve">Las preguntas 1, 2, 3, 4 y 8 deben responderse antes de empezar la 5.4a, porque cambian las tablas. Las demás se pueden responder durante el desarrollo.</w:t>
      </w:r>
    </w:p>
    <w:p>
      <w:pPr>
        <w:pStyle w:val="Heading1"/>
      </w:pPr>
      <w:r>
        <w:t xml:space="preserve">9. Decisiones pendientes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26"/>
      </w:tblGrid>
      <w:tr>
        <w:trPr>
          <w:tblHeader/>
        </w:trPr>
        <w:tc>
          <w:tcPr>
            <w:tcW w:type="dxa" w:w="11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Pregunta</w:t>
            </w:r>
          </w:p>
        </w:tc>
        <w:tc>
          <w:tcPr>
            <w:tcW w:type="dxa" w:w="30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Tema</w:t>
            </w:r>
          </w:p>
        </w:tc>
        <w:tc>
          <w:tcPr>
            <w:tcW w:type="dxa" w:w="4926"/>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Recomendación</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Compatibilidad</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Por modelo de impresora</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Lotes de compra</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Saldo único; la fecha de compra queda en el ingreso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Cómo se pide</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Por ticket, que imprime la solicitud a bodega; hasta 2027, la solicitud sale del módulo de consumibles</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4</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Quién guarda el material</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Dato que entrega TIC. Si guarda Bodega, el módulo registra pedidos y entregas, sin saldo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Constancia de entrega</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Sin constancia impresa</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6</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Aviso de stock mínimo</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Solo en el tablero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7</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Saldo inicial</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A mano, con un ingreso de apertura</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8</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Código y documento de bodega</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Dato que entrega TIC</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9</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Otros repuestos</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En el mismo catálogo, con su tipo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10</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Quién registra</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Técnicos y Jefe de TIC; el auditor consulta</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11</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Campo «consumible» de la ficha</w:t>
            </w:r>
          </w:p>
        </w:tc>
        <w:tc>
          <w:tcPr>
            <w:tcW w:type="dxa" w:w="49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Retirarlo del formulario</w:t>
            </w:r>
          </w:p>
        </w:tc>
      </w:tr>
    </w:tbl>
    <w:p>
      <w:pPr>
        <w:spacing w:after="120"/>
      </w:pPr>
    </w:p>
    <w:p>
      <w:pPr>
        <w:pStyle w:val="Heading1"/>
      </w:pPr>
      <w:r>
        <w:t xml:space="preserve">Anexo: modelo de datos</w:t>
      </w:r>
    </w:p>
    <w:p>
      <w:pPr>
        <w:spacing w:after="120"/>
      </w:pPr>
      <w:r>
        <w:t xml:space="preserve">Para el equipo de desarrollo. Tres tablas nuevas: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Tabla</w:t>
            </w:r>
          </w:p>
        </w:tc>
        <w:tc>
          <w:tcPr>
            <w:tcW w:type="dxa" w:w="6626"/>
            <w:tcBorders>
              <w:top w:val="single" w:color="BFBFBF" w:sz="4"/>
              <w:left w:val="single" w:color="BFBFBF" w:sz="4"/>
              <w:bottom w:val="single" w:color="BFBFBF" w:sz="4"/>
              <w:right w:val="single" w:color="BFBFBF" w:sz="4"/>
            </w:tcBorders>
            <w:shd w:fill="F2F6F4" w:color="auto" w:val="clear"/>
            <w:tcMar>
              <w:top w:type="dxa" w:w="50"/>
              <w:left w:type="dxa" w:w="100"/>
              <w:bottom w:type="dxa" w:w="50"/>
              <w:right w:type="dxa" w:w="100"/>
            </w:tcMar>
          </w:tcPr>
          <w:p>
            <w:r>
              <w:rPr>
                <w:b/>
                <w:bCs/>
                <w:color w:val="1F6F4A"/>
                <w:sz w:val="18"/>
                <w:szCs w:val="18"/>
              </w:rPr>
              <w:t xml:space="preserve">Columnas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consumibles</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id · codigo_bodega (única, opcional) · descripcion · tipo · color · presentacion · stock_minimo · activo · created_by · fechas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consumible_modelos</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consumible_id · marca_id · modelo · modelo_normalizado · única por (consumible, marca, modelo normalizado)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movimientos_consumible</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8"/>
                <w:szCs w:val="18"/>
              </w:rPr>
              <w:t xml:space="preserve">id · consumible_id · tipo (apertura, ingreso, entrega, ajuste) · cantidad con signo · fecha · bien_informatico_id · servidor_retira_id · unidad_administrativa_id (congelada en la entrega) · ticket_id · documento · fecha_compra · motivo_ajuste · observacion · registrado_por · anulado_en · anulado_por · motivo_anulacion · fechas · índice por (consumible_id, fecha)</w:t>
            </w:r>
          </w:p>
        </w:tc>
      </w:tr>
    </w:tbl>
    <w:p>
      <w:pPr>
        <w:spacing w:after="120"/>
      </w:pPr>
    </w:p>
    <w:p>
      <w:pPr>
        <w:spacing w:after="120"/>
      </w:pPr>
      <w:r>
        <w:t xml:space="preserve">El saldo es la suma de las cantidades de los movimientos no anulados. Al registrar una salida, se bloquea la fila del consumible dentro de la transacción, para que dos entregas simultáneas no dejen el saldo negativo.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Diseño del módulo de consumibles ·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F6F4A"/>
      <w:sz w:val="40"/>
      <w:szCs w:val="40"/>
    </w:rPr>
  </w:style>
  <w:style w:type="paragraph" w:styleId="Heading1">
    <w:name w:val="Heading 1"/>
    <w:basedOn w:val="Normal"/>
    <w:next w:val="Normal"/>
    <w:qFormat/>
    <w:pPr>
      <w:keepNext/>
      <w:spacing w:after="120" w:before="360"/>
      <w:outlineLvl w:val="0"/>
    </w:pPr>
    <w:rPr>
      <w:b/>
      <w:bCs/>
      <w:color w:val="1F6F4A"/>
      <w:sz w:val="28"/>
      <w:szCs w:val="28"/>
    </w:rPr>
  </w:style>
  <w:style w:type="paragraph" w:styleId="Heading2">
    <w:name w:val="Heading 2"/>
    <w:basedOn w:val="Normal"/>
    <w:next w:val="Normal"/>
    <w:qFormat/>
    <w:pPr>
      <w:keepNext/>
      <w:spacing w:after="80" w:before="200"/>
      <w:outlineLvl w:val="1"/>
    </w:pPr>
    <w:rPr>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módulo de consumibles</dc:title>
  <dc:creator>SGTH</dc:creator>
  <cp:lastModifiedBy>Un-named</cp:lastModifiedBy>
  <cp:revision>1</cp:revision>
  <dcterms:created xsi:type="dcterms:W3CDTF">2026-10-16T13:35:52.455Z</dcterms:created>
  <dcterms:modified xsi:type="dcterms:W3CDTF">2026-10-16T13:35:52.456Z</dcterms:modified>
</cp:coreProperties>
</file>

<file path=docProps/custom.xml><?xml version="1.0" encoding="utf-8"?>
<Properties xmlns="http://schemas.openxmlformats.org/officeDocument/2006/custom-properties" xmlns:vt="http://schemas.openxmlformats.org/officeDocument/2006/docPropsVTypes"/>
</file>