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2"/>
        </w:rPr>
        <w:t>⚖️ RELATÓRIO DE ANÁLISE JURÍDICA</w:t>
      </w:r>
    </w:p>
    <w:p>
      <w:pPr>
        <w:jc w:val="center"/>
      </w:pPr>
      <w:r>
        <w:rPr>
          <w:color w:val="555555"/>
          <w:sz w:val="20"/>
        </w:rPr>
        <w:t>Análise de Termos Aditivos</w:t>
      </w:r>
    </w:p>
    <w:p/>
    <w:p>
      <w:pPr>
        <w:pStyle w:val="Heading2"/>
        <w:jc w:val="left"/>
      </w:pPr>
      <w:r>
        <w:rPr>
          <w:color w:val="1F3864"/>
        </w:rPr>
        <w:t>1. Identificação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8CCD8" w:space="0"/>
          <w:left w:val="single" w:sz="4" w:color="C8CCD8" w:space="0"/>
          <w:bottom w:val="single" w:sz="4" w:color="C8CCD8" w:space="0"/>
          <w:right w:val="single" w:sz="4" w:color="C8CCD8" w:space="0"/>
          <w:insideH w:val="single" w:sz="4" w:color="C8CCD8" w:space="0"/>
          <w:insideV w:val="single" w:sz="4" w:color="C8CCD8" w:space="0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E8EBF2"/>
          </w:tcPr>
          <w:p>
            <w:r/>
            <w:r>
              <w:rPr>
                <w:b/>
                <w:i w:val="0"/>
                <w:color w:val="1F3864"/>
                <w:sz w:val="20"/>
              </w:rPr>
              <w:t>Contrato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color w:val="1A1D2E"/>
                <w:sz w:val="20"/>
              </w:rPr>
              <w:t>028/2025</w:t>
            </w:r>
          </w:p>
        </w:tc>
      </w:tr>
      <w:tr>
        <w:tc>
          <w:tcPr>
            <w:tcW w:type="dxa" w:w="4703"/>
            <w:shd w:val="clear" w:color="auto" w:fill="E8EBF2"/>
          </w:tcPr>
          <w:p>
            <w:r/>
            <w:r>
              <w:rPr>
                <w:b/>
                <w:i w:val="0"/>
                <w:color w:val="1F3864"/>
                <w:sz w:val="20"/>
              </w:rPr>
              <w:t>Objeto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color w:val="1A1D2E"/>
                <w:sz w:val="20"/>
              </w:rPr>
              <w:t>Gerenciamento de combustíveis</w:t>
            </w:r>
          </w:p>
        </w:tc>
      </w:tr>
      <w:tr>
        <w:tc>
          <w:tcPr>
            <w:tcW w:type="dxa" w:w="4703"/>
            <w:shd w:val="clear" w:color="auto" w:fill="E8EBF2"/>
          </w:tcPr>
          <w:p>
            <w:r/>
            <w:r>
              <w:rPr>
                <w:b/>
                <w:i w:val="0"/>
                <w:color w:val="1F3864"/>
                <w:sz w:val="20"/>
              </w:rPr>
              <w:t>Status Geral</w:t>
            </w:r>
          </w:p>
        </w:tc>
        <w:tc>
          <w:tcPr>
            <w:tcW w:type="dxa" w:w="4703"/>
            <w:shd w:val="clear" w:color="auto" w:fill="FFF3CD"/>
          </w:tcPr>
          <w:p>
            <w:r/>
            <w:r>
              <w:rPr>
                <w:b/>
                <w:i w:val="0"/>
                <w:color w:val="925C0A"/>
                <w:sz w:val="22"/>
              </w:rPr>
              <w:t>COM DIVERGÊNCIAS</w:t>
            </w:r>
          </w:p>
        </w:tc>
      </w:tr>
      <w:tr>
        <w:tc>
          <w:tcPr>
            <w:tcW w:type="dxa" w:w="4703"/>
            <w:shd w:val="clear" w:color="auto" w:fill="E8EBF2"/>
          </w:tcPr>
          <w:p>
            <w:r/>
            <w:r>
              <w:rPr>
                <w:b/>
                <w:i w:val="0"/>
                <w:color w:val="1F3864"/>
                <w:sz w:val="20"/>
              </w:rPr>
              <w:t>Total de Apontamentos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color w:val="1A1D2E"/>
                <w:sz w:val="20"/>
              </w:rPr>
              <w:t>1 (0 críticas)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2. Resumo Executivo</w:t>
      </w:r>
    </w:p>
    <w:p>
      <w:r>
        <w:rPr>
          <w:b w:val="0"/>
          <w:i w:val="0"/>
          <w:color w:val="333333"/>
          <w:sz w:val="20"/>
        </w:rPr>
        <w:t>O novo termo aditivo apresenta divergência no prazo de vigência.</w:t>
      </w:r>
    </w:p>
    <w:p/>
    <w:p>
      <w:pPr>
        <w:pStyle w:val="Heading2"/>
        <w:jc w:val="left"/>
      </w:pPr>
      <w:r>
        <w:rPr>
          <w:color w:val="1F3864"/>
        </w:rPr>
        <w:t>3. Partes Identificadas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8CCD8" w:space="0"/>
          <w:left w:val="single" w:sz="4" w:color="C8CCD8" w:space="0"/>
          <w:bottom w:val="single" w:sz="4" w:color="C8CCD8" w:space="0"/>
          <w:right w:val="single" w:sz="4" w:color="C8CCD8" w:space="0"/>
          <w:insideH w:val="single" w:sz="4" w:color="C8CCD8" w:space="0"/>
          <w:insideV w:val="single" w:sz="4" w:color="C8CCD8" w:space="0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Papel</w:t>
            </w:r>
          </w:p>
        </w:tc>
        <w:tc>
          <w:tcPr>
            <w:tcW w:type="dxa" w:w="4703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Identificado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Contratante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Município X</w:t>
            </w:r>
          </w:p>
        </w:tc>
      </w:tr>
      <w:tr>
        <w:tc>
          <w:tcPr>
            <w:tcW w:type="dxa" w:w="4703"/>
            <w:shd w:val="clear" w:color="auto" w:fill="F5F6FA"/>
          </w:tcPr>
          <w:p>
            <w:r/>
            <w:r>
              <w:rPr>
                <w:sz w:val="18"/>
              </w:rPr>
              <w:t>Contratada</w:t>
            </w:r>
          </w:p>
        </w:tc>
        <w:tc>
          <w:tcPr>
            <w:tcW w:type="dxa" w:w="4703"/>
            <w:shd w:val="clear" w:color="auto" w:fill="F5F6FA"/>
          </w:tcPr>
          <w:p>
            <w:r/>
            <w:r>
              <w:rPr>
                <w:sz w:val="18"/>
              </w:rPr>
              <w:t>MaxiFrota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4. Assinantes do Novo Termo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8CCD8" w:space="0"/>
          <w:left w:val="single" w:sz="4" w:color="C8CCD8" w:space="0"/>
          <w:bottom w:val="single" w:sz="4" w:color="C8CCD8" w:space="0"/>
          <w:right w:val="single" w:sz="4" w:color="C8CCD8" w:space="0"/>
          <w:insideH w:val="single" w:sz="4" w:color="C8CCD8" w:space="0"/>
          <w:insideV w:val="single" w:sz="4" w:color="C8CCD8" w:space="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Nome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Cargo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Presente em Anteriores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João Silva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Prefeito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SIM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5. Análise Cláusula por Cláusula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8CCD8" w:space="0"/>
          <w:left w:val="single" w:sz="4" w:color="C8CCD8" w:space="0"/>
          <w:bottom w:val="single" w:sz="4" w:color="C8CCD8" w:space="0"/>
          <w:right w:val="single" w:sz="4" w:color="C8CCD8" w:space="0"/>
          <w:insideH w:val="single" w:sz="4" w:color="C8CCD8" w:space="0"/>
          <w:insideV w:val="single" w:sz="4" w:color="C8CCD8" w:space="0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Cláusula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Original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Anteriores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Novo Termo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8"/>
              </w:rPr>
              <w:t>Cláusula 1ª — Objeto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Gerenciamento combustíveis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N/A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Gerenciamento combustíveis</w:t>
            </w:r>
          </w:p>
        </w:tc>
        <w:tc>
          <w:tcPr>
            <w:tcW w:type="dxa" w:w="1568"/>
            <w:shd w:val="clear" w:color="auto" w:fill="D4EDDA"/>
          </w:tcPr>
          <w:p>
            <w:r/>
            <w:r>
              <w:rPr>
                <w:b/>
                <w:color w:val="1A7A47"/>
                <w:sz w:val="18"/>
              </w:rPr>
              <w:t>OK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568"/>
            <w:shd w:val="clear" w:color="auto" w:fill="F5F6FA"/>
          </w:tcPr>
          <w:p>
            <w:r/>
            <w:r>
              <w:rPr>
                <w:sz w:val="18"/>
              </w:rPr>
              <w:t>Cláusula 6ª — Vigência</w:t>
            </w:r>
          </w:p>
        </w:tc>
        <w:tc>
          <w:tcPr>
            <w:tcW w:type="dxa" w:w="1568"/>
            <w:shd w:val="clear" w:color="auto" w:fill="F5F6FA"/>
          </w:tcPr>
          <w:p>
            <w:r/>
            <w:r>
              <w:rPr>
                <w:sz w:val="18"/>
              </w:rPr>
              <w:t>12 meses</w:t>
            </w:r>
          </w:p>
        </w:tc>
        <w:tc>
          <w:tcPr>
            <w:tcW w:type="dxa" w:w="1568"/>
            <w:shd w:val="clear" w:color="auto" w:fill="F5F6FA"/>
          </w:tcPr>
          <w:p>
            <w:r/>
            <w:r>
              <w:rPr>
                <w:sz w:val="18"/>
              </w:rPr>
              <w:t>Prorrogado 12 meses</w:t>
            </w:r>
          </w:p>
        </w:tc>
        <w:tc>
          <w:tcPr>
            <w:tcW w:type="dxa" w:w="1568"/>
            <w:shd w:val="clear" w:color="auto" w:fill="F5F6FA"/>
          </w:tcPr>
          <w:p>
            <w:r/>
            <w:r>
              <w:rPr>
                <w:sz w:val="18"/>
              </w:rPr>
              <w:t>24 meses</w:t>
            </w:r>
          </w:p>
        </w:tc>
        <w:tc>
          <w:tcPr>
            <w:tcW w:type="dxa" w:w="1568"/>
            <w:shd w:val="clear" w:color="auto" w:fill="FFF3CD"/>
          </w:tcPr>
          <w:p>
            <w:r/>
            <w:r>
              <w:rPr>
                <w:b/>
                <w:color w:val="925C0A"/>
                <w:sz w:val="18"/>
              </w:rPr>
              <w:t>ALTERADO</w:t>
            </w:r>
          </w:p>
        </w:tc>
        <w:tc>
          <w:tcPr>
            <w:tcW w:type="dxa" w:w="1568"/>
            <w:shd w:val="clear" w:color="auto" w:fill="F5F6FA"/>
          </w:tcPr>
          <w:p>
            <w:r/>
            <w:r>
              <w:rPr>
                <w:sz w:val="18"/>
              </w:rPr>
              <w:t>Prazo ampliado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6. Apontamentos e Divergências (1)</w:t>
      </w:r>
    </w:p>
    <w:p>
      <w:r>
        <w:rPr>
          <w:b/>
          <w:i w:val="0"/>
          <w:color w:val="925C0A"/>
          <w:sz w:val="20"/>
        </w:rPr>
        <w:t>Apontamento 01 — [DIVERGÊNCIA]</w:t>
      </w:r>
      <w:r>
        <w:rPr>
          <w:b w:val="0"/>
          <w:i w:val="0"/>
          <w:color w:val="555555"/>
          <w:sz w:val="18"/>
        </w:rPr>
        <w:t xml:space="preserve">  |  Cláusula 6ª  |  Categoria: PRAZO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8CCD8" w:space="0"/>
          <w:left w:val="single" w:sz="4" w:color="C8CCD8" w:space="0"/>
          <w:bottom w:val="single" w:sz="4" w:color="C8CCD8" w:space="0"/>
          <w:right w:val="single" w:sz="4" w:color="C8CCD8" w:space="0"/>
          <w:insideH w:val="single" w:sz="4" w:color="C8CCD8" w:space="0"/>
          <w:insideV w:val="single" w:sz="4" w:color="C8CCD8" w:space="0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E8EBF2"/>
          </w:tcPr>
          <w:p>
            <w:r/>
            <w:r>
              <w:rPr>
                <w:b/>
                <w:i w:val="0"/>
                <w:color w:val="1F3864"/>
                <w:sz w:val="18"/>
              </w:rPr>
              <w:t>Previsto (Original/Anterior)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color w:val="1A1D2E"/>
                <w:sz w:val="18"/>
              </w:rPr>
              <w:t>12 meses</w:t>
            </w:r>
          </w:p>
        </w:tc>
      </w:tr>
      <w:tr>
        <w:tc>
          <w:tcPr>
            <w:tcW w:type="dxa" w:w="4703"/>
            <w:shd w:val="clear" w:color="auto" w:fill="E8EBF2"/>
          </w:tcPr>
          <w:p>
            <w:r/>
            <w:r>
              <w:rPr>
                <w:b/>
                <w:i w:val="0"/>
                <w:color w:val="1F3864"/>
                <w:sz w:val="18"/>
              </w:rPr>
              <w:t>Encontrado no Novo Termo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color w:val="1A1D2E"/>
                <w:sz w:val="18"/>
              </w:rPr>
              <w:t>24 meses</w:t>
            </w:r>
          </w:p>
        </w:tc>
      </w:tr>
      <w:tr>
        <w:tc>
          <w:tcPr>
            <w:tcW w:type="dxa" w:w="4703"/>
            <w:shd w:val="clear" w:color="auto" w:fill="E8EBF2"/>
          </w:tcPr>
          <w:p>
            <w:r/>
            <w:r>
              <w:rPr>
                <w:b/>
                <w:i w:val="0"/>
                <w:color w:val="1F3864"/>
                <w:sz w:val="18"/>
              </w:rPr>
              <w:t>Descrição / Impacto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color w:val="1A1D2E"/>
                <w:sz w:val="18"/>
              </w:rPr>
              <w:t>Prazo de vigência alterado de 12 para 24 meses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8CCD8" w:space="0"/>
          <w:left w:val="single" w:sz="4" w:color="C8CCD8" w:space="0"/>
          <w:bottom w:val="single" w:sz="4" w:color="C8CCD8" w:space="0"/>
          <w:right w:val="single" w:sz="4" w:color="C8CCD8" w:space="0"/>
          <w:insideH w:val="single" w:sz="4" w:color="C8CCD8" w:space="0"/>
          <w:insideV w:val="single" w:sz="4" w:color="C8CCD8" w:space="0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E8EBF2"/>
          </w:tcPr>
          <w:p>
            <w:r/>
            <w:r>
              <w:rPr>
                <w:b/>
                <w:i w:val="0"/>
                <w:color w:val="1F3864"/>
                <w:sz w:val="18"/>
              </w:rPr>
              <w:t>Decisão do Analista</w:t>
            </w:r>
          </w:p>
        </w:tc>
        <w:tc>
          <w:tcPr>
            <w:tcW w:type="dxa" w:w="4703"/>
            <w:shd w:val="clear" w:color="auto" w:fill="FFF3CD"/>
          </w:tcPr>
          <w:p>
            <w:r/>
            <w:r>
              <w:rPr>
                <w:b/>
                <w:i w:val="0"/>
                <w:color w:val="925C0A"/>
                <w:sz w:val="18"/>
              </w:rPr>
              <w:t>📋 SEGUIDO SEM VALIDAÇÃO</w:t>
            </w:r>
          </w:p>
        </w:tc>
      </w:tr>
      <w:tr>
        <w:tc>
          <w:tcPr>
            <w:tcW w:type="dxa" w:w="4703"/>
            <w:shd w:val="clear" w:color="auto" w:fill="E8EBF2"/>
          </w:tcPr>
          <w:p>
            <w:r/>
            <w:r>
              <w:rPr>
                <w:b/>
                <w:i w:val="0"/>
                <w:color w:val="1F3864"/>
                <w:sz w:val="18"/>
              </w:rPr>
              <w:t>Analista Responsável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color w:val="1A1D2E"/>
                <w:sz w:val="18"/>
              </w:rPr>
              <w:t>Maria</w:t>
            </w:r>
          </w:p>
        </w:tc>
      </w:tr>
      <w:tr>
        <w:tc>
          <w:tcPr>
            <w:tcW w:type="dxa" w:w="4703"/>
            <w:shd w:val="clear" w:color="auto" w:fill="E8EBF2"/>
          </w:tcPr>
          <w:p>
            <w:r/>
            <w:r>
              <w:rPr>
                <w:b/>
                <w:i w:val="0"/>
                <w:color w:val="1F3864"/>
                <w:sz w:val="18"/>
              </w:rPr>
              <w:t>Justificativa / Observação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color w:val="1A1D2E"/>
                <w:sz w:val="18"/>
              </w:rPr>
              <w:t>Verificar com jurídico</w:t>
            </w:r>
          </w:p>
        </w:tc>
      </w:tr>
    </w:tbl>
    <w:p>
      <w:r>
        <w:rPr>
          <w:b w:val="0"/>
          <w:i/>
          <w:color w:val="888888"/>
          <w:sz w:val="16"/>
        </w:rPr>
        <w:t>Registrado em: 28/03/2026 20:00</w:t>
      </w:r>
    </w:p>
    <w:p/>
    <w:p/>
    <w:p>
      <w:pPr>
        <w:pStyle w:val="Heading2"/>
        <w:jc w:val="left"/>
      </w:pPr>
      <w:r>
        <w:rPr>
          <w:color w:val="1F3864"/>
        </w:rPr>
        <w:t>7. Verificação de Prazos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8CCD8" w:space="0"/>
          <w:left w:val="single" w:sz="4" w:color="C8CCD8" w:space="0"/>
          <w:bottom w:val="single" w:sz="4" w:color="C8CCD8" w:space="0"/>
          <w:right w:val="single" w:sz="4" w:color="C8CCD8" w:space="0"/>
          <w:insideH w:val="single" w:sz="4" w:color="C8CCD8" w:space="0"/>
          <w:insideV w:val="single" w:sz="4" w:color="C8CCD8" w:space="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Prazo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Original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Anteriores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Novo Termo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Vigência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12 meses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12 meses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24 meses</w:t>
            </w:r>
          </w:p>
        </w:tc>
        <w:tc>
          <w:tcPr>
            <w:tcW w:type="dxa" w:w="1881"/>
            <w:shd w:val="clear" w:color="auto" w:fill="FFF3CD"/>
          </w:tcPr>
          <w:p>
            <w:r/>
            <w:r>
              <w:rPr>
                <w:b/>
                <w:color w:val="925C0A"/>
                <w:sz w:val="18"/>
              </w:rPr>
              <w:t>ALTERADO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8. Verificação de Valores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8CCD8" w:space="0"/>
          <w:left w:val="single" w:sz="4" w:color="C8CCD8" w:space="0"/>
          <w:bottom w:val="single" w:sz="4" w:color="C8CCD8" w:space="0"/>
          <w:right w:val="single" w:sz="4" w:color="C8CCD8" w:space="0"/>
          <w:insideH w:val="single" w:sz="4" w:color="C8CCD8" w:space="0"/>
          <w:insideV w:val="single" w:sz="4" w:color="C8CCD8" w:space="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Valor/Rubrica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Original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Anteriores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Novo Termo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Valor estimado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R$ 100.000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R$ 100.000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R$ 200.000</w:t>
            </w:r>
          </w:p>
        </w:tc>
        <w:tc>
          <w:tcPr>
            <w:tcW w:type="dxa" w:w="1881"/>
            <w:shd w:val="clear" w:color="auto" w:fill="FFF3CD"/>
          </w:tcPr>
          <w:p>
            <w:r/>
            <w:r>
              <w:rPr>
                <w:b/>
                <w:color w:val="925C0A"/>
                <w:sz w:val="18"/>
              </w:rPr>
              <w:t>ALTERADO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11. Registro de Decisões do Analista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8CCD8" w:space="0"/>
          <w:left w:val="single" w:sz="4" w:color="C8CCD8" w:space="0"/>
          <w:bottom w:val="single" w:sz="4" w:color="C8CCD8" w:space="0"/>
          <w:right w:val="single" w:sz="4" w:color="C8CCD8" w:space="0"/>
          <w:insideH w:val="single" w:sz="4" w:color="C8CCD8" w:space="0"/>
          <w:insideV w:val="single" w:sz="4" w:color="C8CCD8" w:space="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Apontamento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Analista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Justificativa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Data/Hora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Cláusula 6ª — Vigência</w:t>
            </w:r>
          </w:p>
        </w:tc>
        <w:tc>
          <w:tcPr>
            <w:tcW w:type="dxa" w:w="1881"/>
            <w:shd w:val="clear" w:color="auto" w:fill="E2E3E5"/>
          </w:tcPr>
          <w:p>
            <w:r/>
            <w:r>
              <w:rPr>
                <w:b/>
                <w:color w:val="6C757D"/>
                <w:sz w:val="18"/>
              </w:rPr>
              <w:t>📋 Sem validação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Maria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Verificar com jurídico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28/03/2026 20:00</w:t>
            </w:r>
          </w:p>
        </w:tc>
      </w:tr>
    </w:tbl>
    <w:p/>
    <w:p>
      <w:pPr>
        <w:jc w:val="center"/>
      </w:pPr>
      <w:r>
        <w:rPr>
          <w:b w:val="0"/>
          <w:i w:val="0"/>
          <w:color w:val="CCCCCC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jc w:val="center"/>
      </w:pPr>
      <w:r>
        <w:rPr>
          <w:b w:val="0"/>
          <w:i w:val="0"/>
          <w:color w:val="AAAAAA"/>
          <w:sz w:val="16"/>
        </w:rPr>
        <w:t>Relatório gerado automaticamente em 28/03/2026 — Validador de Termos Aditivos — Análise Jurídica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