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Chapitre 3. Réalisation : la plateforme à l'épreuve d'un scénario complet</w:t>
      </w:r>
    </w:p>
    <w:p>
      <w:pPr>
        <w:pStyle w:val="Heading2"/>
      </w:pPr>
      <w:r>
        <w:t>3.1  Introduction</w:t>
      </w:r>
    </w:p>
    <w:p>
      <w:r>
        <w:rPr>
          <w:sz w:val="22"/>
        </w:rPr>
        <w:t xml:space="preserve">Le chapitre précédent a décrit ce que la plateforme doit faire et comment elle est conçue. Celui-ci montre ce qu'elle </w:t>
      </w:r>
      <w:r>
        <w:rPr>
          <w:b/>
          <w:sz w:val="22"/>
        </w:rPr>
        <w:t>fait</w:t>
      </w:r>
      <w:r>
        <w:rPr>
          <w:sz w:val="22"/>
        </w:rPr>
        <w:t>, écran par écran, en la mettant à l'épreuve d'une histoire complète : celle d'une plateforme qui ouvre ses portes, accueille ses premiers établissements, ses premières entreprises et ses premiers étudiants, jusqu'au recrutement d'une stagiaire.</w:t>
      </w:r>
    </w:p>
    <w:p>
      <w:r>
        <w:rPr>
          <w:sz w:val="22"/>
        </w:rPr>
        <w:t>Le chapitre s'achève sur l'</w:t>
      </w:r>
      <w:r>
        <w:rPr>
          <w:b/>
          <w:sz w:val="22"/>
        </w:rPr>
        <w:t>évaluation budgétaire prévisionnelle</w:t>
      </w:r>
      <w:r>
        <w:rPr>
          <w:sz w:val="22"/>
        </w:rPr>
        <w:t xml:space="preserve"> du projet, selon le modèle COCOMO. Sa confrontation au logiciel effectivement livré fait l'objet du chapitre 4.</w:t>
      </w:r>
    </w:p>
    <w:p>
      <w:pPr>
        <w:pStyle w:val="Heading2"/>
      </w:pPr>
      <w:r>
        <w:t>3.2  Démarche de présentation</w:t>
      </w:r>
    </w:p>
    <w:p>
      <w:pPr>
        <w:pStyle w:val="Heading3"/>
      </w:pPr>
      <w:r>
        <w:t>3.2.1  Deux temps, dans cet ordre</w:t>
      </w:r>
    </w:p>
    <w:p>
      <w:r>
        <w:rPr>
          <w:sz w:val="22"/>
        </w:rPr>
        <w:t>Une application se présente mal sur une base déjà remplie : on y voit une candidature « recrutée », jamais le moment où elle le devient. À l'inverse, les fonctions d'intelligence de la plateforme n'ont de sens qu'avec du volume : le moteur de recommandation apprend la proximité entre compétences de leurs apparitions communes dans des dizaines d'offres et de CV. La présentation se fait donc en deux temps.</w:t>
      </w:r>
    </w:p>
    <w:p>
      <w:pPr>
        <w:spacing w:before="160" w:after="80"/>
      </w:pPr>
      <w:r>
        <w:rPr>
          <w:color w:val="565B6E"/>
          <w:sz w:val="18"/>
        </w:rPr>
        <w:t>Tableau 3.01 : Les deux temps de la présentation</w:t>
      </w:r>
    </w:p>
    <w:tbl>
      <w:tblPr>
        <w:tblStyle w:val="TableGrid"/>
        <w:tblW w:type="auto" w:w="0"/>
        <w:jc w:val="left"/>
        <w:tblLook w:firstColumn="1" w:firstRow="1" w:lastColumn="0" w:lastRow="0" w:noHBand="0" w:noVBand="1" w:val="04A0"/>
      </w:tblPr>
      <w:tblGrid>
        <w:gridCol w:w="2946"/>
        <w:gridCol w:w="2946"/>
        <w:gridCol w:w="2946"/>
      </w:tblGrid>
      <w:tr>
        <w:tc>
          <w:tcPr>
            <w:tcW w:type="dxa" w:w="2381"/>
            <w:shd w:val="clear" w:color="auto" w:fill="E2E5EE"/>
          </w:tcPr>
          <w:p>
            <w:pPr>
              <w:spacing w:after="40"/>
            </w:pPr>
            <w:r/>
            <w:r>
              <w:rPr>
                <w:b/>
                <w:sz w:val="19"/>
              </w:rPr>
              <w:t>Temps</w:t>
            </w:r>
          </w:p>
        </w:tc>
        <w:tc>
          <w:tcPr>
            <w:tcW w:type="dxa" w:w="2835"/>
            <w:shd w:val="clear" w:color="auto" w:fill="E2E5EE"/>
          </w:tcPr>
          <w:p>
            <w:pPr>
              <w:spacing w:after="40"/>
            </w:pPr>
            <w:r/>
            <w:r>
              <w:rPr>
                <w:b/>
                <w:sz w:val="19"/>
              </w:rPr>
              <w:t>État de la base</w:t>
            </w:r>
          </w:p>
        </w:tc>
        <w:tc>
          <w:tcPr>
            <w:tcW w:type="dxa" w:w="3288"/>
            <w:shd w:val="clear" w:color="auto" w:fill="E2E5EE"/>
          </w:tcPr>
          <w:p>
            <w:pPr>
              <w:spacing w:after="40"/>
            </w:pPr>
            <w:r/>
            <w:r>
              <w:rPr>
                <w:b/>
                <w:sz w:val="19"/>
              </w:rPr>
              <w:t>Ce qui est montré</w:t>
            </w:r>
          </w:p>
        </w:tc>
      </w:tr>
      <w:tr>
        <w:tc>
          <w:tcPr>
            <w:tcW w:type="dxa" w:w="2381"/>
          </w:tcPr>
          <w:p>
            <w:pPr>
              <w:spacing w:after="40"/>
            </w:pPr>
            <w:r>
              <w:rPr>
                <w:b/>
                <w:sz w:val="19"/>
              </w:rPr>
              <w:t>Première partie</w:t>
            </w:r>
            <w:r>
              <w:rPr>
                <w:sz w:val="19"/>
              </w:rPr>
              <w:t xml:space="preserve"> : une plateforme au premier jour</w:t>
            </w:r>
          </w:p>
        </w:tc>
        <w:tc>
          <w:tcPr>
            <w:tcW w:type="dxa" w:w="2835"/>
          </w:tcPr>
          <w:p>
            <w:pPr>
              <w:spacing w:after="40"/>
            </w:pPr>
            <w:r>
              <w:rPr>
                <w:sz w:val="19"/>
              </w:rPr>
              <w:t>vide, à l'exception du référentiel de 56 compétences et du compte administrateur créé à l'installation</w:t>
            </w:r>
          </w:p>
        </w:tc>
        <w:tc>
          <w:tcPr>
            <w:tcW w:type="dxa" w:w="3288"/>
          </w:tcPr>
          <w:p>
            <w:pPr>
              <w:spacing w:after="40"/>
            </w:pPr>
            <w:r>
              <w:rPr>
                <w:sz w:val="19"/>
              </w:rPr>
              <w:t>chaque geste de chaque acteur, dans l'ordre où il se produit réellement</w:t>
            </w:r>
          </w:p>
        </w:tc>
      </w:tr>
      <w:tr>
        <w:tc>
          <w:tcPr>
            <w:tcW w:type="dxa" w:w="2381"/>
          </w:tcPr>
          <w:p>
            <w:pPr>
              <w:spacing w:after="40"/>
            </w:pPr>
            <w:r>
              <w:rPr>
                <w:b/>
                <w:sz w:val="19"/>
              </w:rPr>
              <w:t>Seconde partie</w:t>
            </w:r>
            <w:r>
              <w:rPr>
                <w:sz w:val="19"/>
              </w:rPr>
              <w:t xml:space="preserve"> : la plateforme en régime</w:t>
            </w:r>
          </w:p>
        </w:tc>
        <w:tc>
          <w:tcPr>
            <w:tcW w:type="dxa" w:w="2835"/>
          </w:tcPr>
          <w:p>
            <w:pPr>
              <w:spacing w:after="40"/>
            </w:pPr>
            <w:r>
              <w:rPr>
                <w:sz w:val="19"/>
              </w:rPr>
              <w:t>jeu de démonstration complet : 79 comptes, 67 offres, 72 candidatures, 38 CV</w:t>
            </w:r>
          </w:p>
        </w:tc>
        <w:tc>
          <w:tcPr>
            <w:tcW w:type="dxa" w:w="3288"/>
          </w:tcPr>
          <w:p>
            <w:pPr>
              <w:spacing w:after="40"/>
            </w:pPr>
            <w:r>
              <w:rPr>
                <w:sz w:val="19"/>
              </w:rPr>
              <w:t>recommandations expliquées, similarité entre compétences, conseiller, lecture de CV numérisés, candidats suggérés, pilotage</w:t>
            </w:r>
          </w:p>
        </w:tc>
      </w:tr>
    </w:tbl>
    <w:p>
      <w:pPr>
        <w:spacing w:after="40"/>
      </w:pPr>
    </w:p>
    <w:p>
      <w:pPr>
        <w:pStyle w:val="Heading3"/>
      </w:pPr>
      <w:r>
        <w:t>3.2.2  Comment les écrans ont été obtenus</w:t>
      </w:r>
    </w:p>
    <w:p>
      <w:r>
        <w:rPr>
          <w:sz w:val="22"/>
        </w:rPr>
        <w:t xml:space="preserve">Les écrans présentés ont été obtenus en utilisant réellement la plateforme : chaque formulaire a été rempli et validé, chaque bouton actionné, et l'écran saisi avant et après l'action. La base se construit ainsi </w:t>
      </w:r>
      <w:r>
        <w:rPr>
          <w:b/>
          <w:sz w:val="22"/>
        </w:rPr>
        <w:t>par l'interface elle-même</w:t>
      </w:r>
      <w:r>
        <w:rPr>
          <w:sz w:val="22"/>
        </w:rPr>
        <w:t>, et chaque état montré est un état réellement atteint. Après chaque étape, l'effet attendu a aussi été contrôlé dans la base de données : qu'une offre publiée compte le bon nombre de questions, qu'un rattachement a bien changé d'état.</w:t>
      </w:r>
    </w:p>
    <w:p>
      <w:r>
        <w:rPr>
          <w:sz w:val="22"/>
        </w:rPr>
        <w:t xml:space="preserve">Sur chaque figure, un </w:t>
      </w:r>
      <w:r>
        <w:rPr>
          <w:b/>
          <w:sz w:val="22"/>
        </w:rPr>
        <w:t>encadré orange</w:t>
      </w:r>
      <w:r>
        <w:rPr>
          <w:sz w:val="22"/>
        </w:rPr>
        <w:t xml:space="preserve"> désigne l'élément dont parle le texte.</w:t>
      </w:r>
    </w:p>
    <w:p>
      <w:pPr>
        <w:spacing w:before="240" w:after="40"/>
        <w:shd w:val="clear" w:color="auto" w:fill="F0E6CF"/>
        <w:pBdr>
          <w:left w:val="single" w:sz="24" w:space="8" w:color="8A6516"/>
        </w:pBdr>
      </w:pPr>
      <w:r>
        <w:rPr>
          <w:b/>
          <w:sz w:val="22"/>
        </w:rPr>
        <w:t>Deux précautions propres à la démonstration</w:t>
      </w:r>
    </w:p>
    <w:p>
      <w:pPr>
        <w:spacing w:after="80"/>
        <w:shd w:val="clear" w:color="auto" w:fill="F0E6CF"/>
        <w:pBdr>
          <w:left w:val="single" w:sz="24" w:space="8" w:color="8A6516"/>
        </w:pBdr>
      </w:pPr>
      <w:r>
        <w:rPr>
          <w:b/>
          <w:sz w:val="21"/>
        </w:rPr>
        <w:t>Aucun courriel n'est parti.</w:t>
      </w:r>
      <w:r>
        <w:rPr>
          <w:sz w:val="21"/>
        </w:rPr>
        <w:t xml:space="preserve"> Toutes les adresses du scénario appartiennent au domaine de démonstration, exclu de l'envoi, et l'envoi était désactivé. Lorsqu'un établissement crée un compte, la plateforme affiche alors le lien d'activation à l'écran pour qu'il le transmette : c'est ce lien que le scénario a suivi.</w:t>
      </w:r>
    </w:p>
    <w:p>
      <w:pPr>
        <w:spacing w:after="200"/>
        <w:shd w:val="clear" w:color="auto" w:fill="F0E6CF"/>
        <w:pBdr>
          <w:left w:val="single" w:sz="24" w:space="8" w:color="8A6516"/>
        </w:pBdr>
      </w:pPr>
      <w:r>
        <w:rPr>
          <w:b/>
          <w:sz w:val="21"/>
        </w:rPr>
        <w:t>Le lien de réinitialisation de mot de passe</w:t>
      </w:r>
      <w:r>
        <w:rPr>
          <w:sz w:val="21"/>
        </w:rPr>
        <w:t xml:space="preserve"> (section 3.3.18), qui n'est jamais affiché à l'écran par sécurité, a été produit par le mécanisme même que la plateforme emploie pour le glisser dans le courriel.</w:t>
      </w:r>
    </w:p>
    <w:p>
      <w:pPr>
        <w:pStyle w:val="Heading3"/>
      </w:pPr>
      <w:r>
        <w:t>3.2.3  La distribution des rôles</w:t>
      </w:r>
    </w:p>
    <w:p>
      <w:r>
        <w:rPr>
          <w:sz w:val="22"/>
        </w:rPr>
        <w:t>Les noms des personnes sont fictifs. Les établissements et les entreprises sont des organisations malgaches réelles, déjà employées par le jeu de démonstration du mémoire, à l'exception de Soa Digital, inventée pour incarner un compte qui reste non vérifié. Aucune de leurs informations n'a été fournie par ces organisations.</w:t>
      </w:r>
    </w:p>
    <w:p>
      <w:pPr>
        <w:spacing w:before="160" w:after="80"/>
      </w:pPr>
      <w:r>
        <w:rPr>
          <w:color w:val="565B6E"/>
          <w:sz w:val="18"/>
        </w:rPr>
        <w:t>Tableau 3.02 : Les acteurs de la première partie</w:t>
      </w:r>
    </w:p>
    <w:tbl>
      <w:tblPr>
        <w:tblStyle w:val="TableGrid"/>
        <w:tblW w:type="auto" w:w="0"/>
        <w:jc w:val="left"/>
        <w:tblLook w:firstColumn="1" w:firstRow="1" w:lastColumn="0" w:lastRow="0" w:noHBand="0" w:noVBand="1" w:val="04A0"/>
      </w:tblPr>
      <w:tblGrid>
        <w:gridCol w:w="2946"/>
        <w:gridCol w:w="2946"/>
        <w:gridCol w:w="2946"/>
      </w:tblGrid>
      <w:tr>
        <w:tc>
          <w:tcPr>
            <w:tcW w:type="dxa" w:w="2835"/>
            <w:shd w:val="clear" w:color="auto" w:fill="E2E5EE"/>
          </w:tcPr>
          <w:p>
            <w:pPr>
              <w:spacing w:after="40"/>
            </w:pPr>
            <w:r/>
            <w:r>
              <w:rPr>
                <w:b/>
                <w:sz w:val="19"/>
              </w:rPr>
              <w:t>Acteur</w:t>
            </w:r>
          </w:p>
        </w:tc>
        <w:tc>
          <w:tcPr>
            <w:tcW w:type="dxa" w:w="1587"/>
            <w:shd w:val="clear" w:color="auto" w:fill="E2E5EE"/>
          </w:tcPr>
          <w:p>
            <w:pPr>
              <w:spacing w:after="40"/>
            </w:pPr>
            <w:r/>
            <w:r>
              <w:rPr>
                <w:b/>
                <w:sz w:val="19"/>
              </w:rPr>
              <w:t>Rôle</w:t>
            </w:r>
          </w:p>
        </w:tc>
        <w:tc>
          <w:tcPr>
            <w:tcW w:type="dxa" w:w="4082"/>
            <w:shd w:val="clear" w:color="auto" w:fill="E2E5EE"/>
          </w:tcPr>
          <w:p>
            <w:pPr>
              <w:spacing w:after="40"/>
            </w:pPr>
            <w:r/>
            <w:r>
              <w:rPr>
                <w:b/>
                <w:sz w:val="19"/>
              </w:rPr>
              <w:t>Ce qui lui arrive</w:t>
            </w:r>
          </w:p>
        </w:tc>
      </w:tr>
      <w:tr>
        <w:tc>
          <w:tcPr>
            <w:tcW w:type="dxa" w:w="2835"/>
          </w:tcPr>
          <w:p>
            <w:pPr>
              <w:spacing w:after="40"/>
            </w:pPr>
            <w:r>
              <w:rPr>
                <w:sz w:val="19"/>
              </w:rPr>
              <w:t>Administrateur d'installation</w:t>
            </w:r>
          </w:p>
        </w:tc>
        <w:tc>
          <w:tcPr>
            <w:tcW w:type="dxa" w:w="1587"/>
          </w:tcPr>
          <w:p>
            <w:pPr>
              <w:spacing w:after="40"/>
            </w:pPr>
            <w:r>
              <w:rPr>
                <w:sz w:val="19"/>
              </w:rPr>
              <w:t>administration</w:t>
            </w:r>
          </w:p>
        </w:tc>
        <w:tc>
          <w:tcPr>
            <w:tcW w:type="dxa" w:w="4082"/>
          </w:tcPr>
          <w:p>
            <w:pPr>
              <w:spacing w:after="40"/>
            </w:pPr>
            <w:r>
              <w:rPr>
                <w:sz w:val="19"/>
              </w:rPr>
              <w:t>vérifie les comptes, crée une seconde administratrice</w:t>
            </w:r>
          </w:p>
        </w:tc>
      </w:tr>
      <w:tr>
        <w:tc>
          <w:tcPr>
            <w:tcW w:type="dxa" w:w="2835"/>
          </w:tcPr>
          <w:p>
            <w:pPr>
              <w:spacing w:after="40"/>
            </w:pPr>
            <w:r>
              <w:rPr>
                <w:sz w:val="19"/>
              </w:rPr>
              <w:t>École Nationale d'Informatique (ENI)</w:t>
            </w:r>
          </w:p>
        </w:tc>
        <w:tc>
          <w:tcPr>
            <w:tcW w:type="dxa" w:w="1587"/>
          </w:tcPr>
          <w:p>
            <w:pPr>
              <w:spacing w:after="40"/>
            </w:pPr>
            <w:r>
              <w:rPr>
                <w:sz w:val="19"/>
              </w:rPr>
              <w:t>établissement</w:t>
            </w:r>
          </w:p>
        </w:tc>
        <w:tc>
          <w:tcPr>
            <w:tcW w:type="dxa" w:w="4082"/>
          </w:tcPr>
          <w:p>
            <w:pPr>
              <w:spacing w:after="40"/>
            </w:pPr>
            <w:r>
              <w:rPr>
                <w:sz w:val="19"/>
              </w:rPr>
              <w:t>s'inscrit tôt, importe une promotion, tranche les rattachements</w:t>
            </w:r>
          </w:p>
        </w:tc>
      </w:tr>
      <w:tr>
        <w:tc>
          <w:tcPr>
            <w:tcW w:type="dxa" w:w="2835"/>
          </w:tcPr>
          <w:p>
            <w:pPr>
              <w:spacing w:after="40"/>
            </w:pPr>
            <w:r>
              <w:rPr>
                <w:sz w:val="19"/>
              </w:rPr>
              <w:t>Institut Supérieur Polytechnique (ISPM)</w:t>
            </w:r>
          </w:p>
        </w:tc>
        <w:tc>
          <w:tcPr>
            <w:tcW w:type="dxa" w:w="1587"/>
          </w:tcPr>
          <w:p>
            <w:pPr>
              <w:spacing w:after="40"/>
            </w:pPr>
            <w:r>
              <w:rPr>
                <w:sz w:val="19"/>
              </w:rPr>
              <w:t>établissement</w:t>
            </w:r>
          </w:p>
        </w:tc>
        <w:tc>
          <w:tcPr>
            <w:tcW w:type="dxa" w:w="4082"/>
          </w:tcPr>
          <w:p>
            <w:pPr>
              <w:spacing w:after="40"/>
            </w:pPr>
            <w:r>
              <w:rPr>
                <w:sz w:val="19"/>
              </w:rPr>
              <w:t>s'inscrit après l'un de ses étudiants</w:t>
            </w:r>
          </w:p>
        </w:tc>
      </w:tr>
      <w:tr>
        <w:tc>
          <w:tcPr>
            <w:tcW w:type="dxa" w:w="2835"/>
          </w:tcPr>
          <w:p>
            <w:pPr>
              <w:spacing w:after="40"/>
            </w:pPr>
            <w:r>
              <w:rPr>
                <w:sz w:val="19"/>
              </w:rPr>
              <w:t>Ingenosya</w:t>
            </w:r>
          </w:p>
        </w:tc>
        <w:tc>
          <w:tcPr>
            <w:tcW w:type="dxa" w:w="1587"/>
          </w:tcPr>
          <w:p>
            <w:pPr>
              <w:spacing w:after="40"/>
            </w:pPr>
            <w:r>
              <w:rPr>
                <w:sz w:val="19"/>
              </w:rPr>
              <w:t>entreprise</w:t>
            </w:r>
          </w:p>
        </w:tc>
        <w:tc>
          <w:tcPr>
            <w:tcW w:type="dxa" w:w="4082"/>
          </w:tcPr>
          <w:p>
            <w:pPr>
              <w:spacing w:after="40"/>
            </w:pPr>
            <w:r>
              <w:rPr>
                <w:sz w:val="19"/>
              </w:rPr>
              <w:t>publie deux offres, recrute une stagiaire</w:t>
            </w:r>
          </w:p>
        </w:tc>
      </w:tr>
      <w:tr>
        <w:tc>
          <w:tcPr>
            <w:tcW w:type="dxa" w:w="2835"/>
          </w:tcPr>
          <w:p>
            <w:pPr>
              <w:spacing w:after="40"/>
            </w:pPr>
            <w:r>
              <w:rPr>
                <w:sz w:val="19"/>
              </w:rPr>
              <w:t>Telma</w:t>
            </w:r>
          </w:p>
        </w:tc>
        <w:tc>
          <w:tcPr>
            <w:tcW w:type="dxa" w:w="1587"/>
          </w:tcPr>
          <w:p>
            <w:pPr>
              <w:spacing w:after="40"/>
            </w:pPr>
            <w:r>
              <w:rPr>
                <w:sz w:val="19"/>
              </w:rPr>
              <w:t>entreprise</w:t>
            </w:r>
          </w:p>
        </w:tc>
        <w:tc>
          <w:tcPr>
            <w:tcW w:type="dxa" w:w="4082"/>
          </w:tcPr>
          <w:p>
            <w:pPr>
              <w:spacing w:after="40"/>
            </w:pPr>
            <w:r>
              <w:rPr>
                <w:sz w:val="19"/>
              </w:rPr>
              <w:t>publie une offre, découvre une annonce de cohorte</w:t>
            </w:r>
          </w:p>
        </w:tc>
      </w:tr>
      <w:tr>
        <w:tc>
          <w:tcPr>
            <w:tcW w:type="dxa" w:w="2835"/>
          </w:tcPr>
          <w:p>
            <w:pPr>
              <w:spacing w:after="40"/>
            </w:pPr>
            <w:r>
              <w:rPr>
                <w:sz w:val="19"/>
              </w:rPr>
              <w:t>Soa Digital (fictive)</w:t>
            </w:r>
          </w:p>
        </w:tc>
        <w:tc>
          <w:tcPr>
            <w:tcW w:type="dxa" w:w="1587"/>
          </w:tcPr>
          <w:p>
            <w:pPr>
              <w:spacing w:after="40"/>
            </w:pPr>
            <w:r>
              <w:rPr>
                <w:sz w:val="19"/>
              </w:rPr>
              <w:t>entreprise</w:t>
            </w:r>
          </w:p>
        </w:tc>
        <w:tc>
          <w:tcPr>
            <w:tcW w:type="dxa" w:w="4082"/>
          </w:tcPr>
          <w:p>
            <w:pPr>
              <w:spacing w:after="40"/>
            </w:pPr>
            <w:r>
              <w:rPr>
                <w:sz w:val="19"/>
              </w:rPr>
              <w:t>reste non vérifiée</w:t>
            </w:r>
          </w:p>
        </w:tc>
      </w:tr>
      <w:tr>
        <w:tc>
          <w:tcPr>
            <w:tcW w:type="dxa" w:w="2835"/>
          </w:tcPr>
          <w:p>
            <w:pPr>
              <w:spacing w:after="40"/>
            </w:pPr>
            <w:r>
              <w:rPr>
                <w:sz w:val="19"/>
              </w:rPr>
              <w:t>Hasina Rakotoarisoa</w:t>
            </w:r>
          </w:p>
        </w:tc>
        <w:tc>
          <w:tcPr>
            <w:tcW w:type="dxa" w:w="1587"/>
          </w:tcPr>
          <w:p>
            <w:pPr>
              <w:spacing w:after="40"/>
            </w:pPr>
            <w:r>
              <w:rPr>
                <w:sz w:val="19"/>
              </w:rPr>
              <w:t>étudiante</w:t>
            </w:r>
          </w:p>
        </w:tc>
        <w:tc>
          <w:tcPr>
            <w:tcW w:type="dxa" w:w="4082"/>
          </w:tcPr>
          <w:p>
            <w:pPr>
              <w:spacing w:after="40"/>
            </w:pPr>
            <w:r>
              <w:rPr>
                <w:sz w:val="19"/>
              </w:rPr>
              <w:t xml:space="preserve">s'inscrit, dépose son CV, postule : </w:t>
            </w:r>
            <w:r>
              <w:rPr>
                <w:b/>
                <w:sz w:val="19"/>
              </w:rPr>
              <w:t>recrutée</w:t>
            </w:r>
          </w:p>
        </w:tc>
      </w:tr>
      <w:tr>
        <w:tc>
          <w:tcPr>
            <w:tcW w:type="dxa" w:w="2835"/>
          </w:tcPr>
          <w:p>
            <w:pPr>
              <w:spacing w:after="40"/>
            </w:pPr>
            <w:r>
              <w:rPr>
                <w:sz w:val="19"/>
              </w:rPr>
              <w:t>Toky Andriamahefa</w:t>
            </w:r>
          </w:p>
        </w:tc>
        <w:tc>
          <w:tcPr>
            <w:tcW w:type="dxa" w:w="1587"/>
          </w:tcPr>
          <w:p>
            <w:pPr>
              <w:spacing w:after="40"/>
            </w:pPr>
            <w:r>
              <w:rPr>
                <w:sz w:val="19"/>
              </w:rPr>
              <w:t>étudiant</w:t>
            </w:r>
          </w:p>
        </w:tc>
        <w:tc>
          <w:tcPr>
            <w:tcW w:type="dxa" w:w="4082"/>
          </w:tcPr>
          <w:p>
            <w:pPr>
              <w:spacing w:after="40"/>
            </w:pPr>
            <w:r>
              <w:rPr>
                <w:sz w:val="19"/>
              </w:rPr>
              <w:t>arrive avant son université ; un refus, une candidature en cours</w:t>
            </w:r>
          </w:p>
        </w:tc>
      </w:tr>
      <w:tr>
        <w:tc>
          <w:tcPr>
            <w:tcW w:type="dxa" w:w="2835"/>
          </w:tcPr>
          <w:p>
            <w:pPr>
              <w:spacing w:after="40"/>
            </w:pPr>
            <w:r>
              <w:rPr>
                <w:sz w:val="19"/>
              </w:rPr>
              <w:t>Mialy Randrianarisoa</w:t>
            </w:r>
          </w:p>
        </w:tc>
        <w:tc>
          <w:tcPr>
            <w:tcW w:type="dxa" w:w="1587"/>
          </w:tcPr>
          <w:p>
            <w:pPr>
              <w:spacing w:after="40"/>
            </w:pPr>
            <w:r>
              <w:rPr>
                <w:sz w:val="19"/>
              </w:rPr>
              <w:t>étudiante</w:t>
            </w:r>
          </w:p>
        </w:tc>
        <w:tc>
          <w:tcPr>
            <w:tcW w:type="dxa" w:w="4082"/>
          </w:tcPr>
          <w:p>
            <w:pPr>
              <w:spacing w:after="40"/>
            </w:pPr>
            <w:r>
              <w:rPr>
                <w:sz w:val="19"/>
              </w:rPr>
              <w:t>créée par l'ENI ; CV numérisé</w:t>
            </w:r>
          </w:p>
        </w:tc>
      </w:tr>
      <w:tr>
        <w:tc>
          <w:tcPr>
            <w:tcW w:type="dxa" w:w="2835"/>
          </w:tcPr>
          <w:p>
            <w:pPr>
              <w:spacing w:after="40"/>
            </w:pPr>
            <w:r>
              <w:rPr>
                <w:sz w:val="19"/>
              </w:rPr>
              <w:t>Promotion « L3 Informatique »</w:t>
            </w:r>
          </w:p>
        </w:tc>
        <w:tc>
          <w:tcPr>
            <w:tcW w:type="dxa" w:w="1587"/>
          </w:tcPr>
          <w:p>
            <w:pPr>
              <w:spacing w:after="40"/>
            </w:pPr>
            <w:r>
              <w:rPr>
                <w:sz w:val="19"/>
              </w:rPr>
              <w:t>cinq étudiants</w:t>
            </w:r>
          </w:p>
        </w:tc>
        <w:tc>
          <w:tcPr>
            <w:tcW w:type="dxa" w:w="4082"/>
          </w:tcPr>
          <w:p>
            <w:pPr>
              <w:spacing w:after="40"/>
            </w:pPr>
            <w:r>
              <w:rPr>
                <w:sz w:val="19"/>
              </w:rPr>
              <w:t>importés par l'ENI ; l'un d'eux quitte l'établissement</w:t>
            </w:r>
          </w:p>
        </w:tc>
      </w:tr>
      <w:tr>
        <w:tc>
          <w:tcPr>
            <w:tcW w:type="dxa" w:w="2835"/>
          </w:tcPr>
          <w:p>
            <w:pPr>
              <w:spacing w:after="40"/>
            </w:pPr>
            <w:r>
              <w:rPr>
                <w:sz w:val="19"/>
              </w:rPr>
              <w:t>Rivo Rajaonary</w:t>
            </w:r>
          </w:p>
        </w:tc>
        <w:tc>
          <w:tcPr>
            <w:tcW w:type="dxa" w:w="1587"/>
          </w:tcPr>
          <w:p>
            <w:pPr>
              <w:spacing w:after="40"/>
            </w:pPr>
            <w:r>
              <w:rPr>
                <w:sz w:val="19"/>
              </w:rPr>
              <w:t>étudiant</w:t>
            </w:r>
          </w:p>
        </w:tc>
        <w:tc>
          <w:tcPr>
            <w:tcW w:type="dxa" w:w="4082"/>
          </w:tcPr>
          <w:p>
            <w:pPr>
              <w:spacing w:after="40"/>
            </w:pPr>
            <w:r>
              <w:rPr>
                <w:sz w:val="19"/>
              </w:rPr>
              <w:t xml:space="preserve">rattachement </w:t>
            </w:r>
            <w:r>
              <w:rPr>
                <w:b/>
                <w:sz w:val="19"/>
              </w:rPr>
              <w:t>refusé</w:t>
            </w:r>
          </w:p>
        </w:tc>
      </w:tr>
    </w:tbl>
    <w:p>
      <w:pPr>
        <w:spacing w:after="40"/>
      </w:pPr>
    </w:p>
    <w:p>
      <w:pPr>
        <w:pStyle w:val="Heading3"/>
      </w:pPr>
      <w:r>
        <w:t>3.2.4  Ce que chaque acteur accomplit</w:t>
      </w:r>
    </w:p>
    <w:p>
      <w:r>
        <w:rPr>
          <w:sz w:val="22"/>
        </w:rPr>
        <w:t>La chronologie de la première partie, relue acteur par acteur. Le code entre parenthèses renvoie à la sous-section où le geste est illustré (A1 correspond à 3.3.1, A18 à 3.3.18).</w:t>
      </w:r>
    </w:p>
    <w:p>
      <w:pPr>
        <w:spacing w:before="160" w:after="80"/>
      </w:pPr>
      <w:r>
        <w:rPr>
          <w:color w:val="565B6E"/>
          <w:sz w:val="18"/>
        </w:rPr>
        <w:t>Tableau 3.03 : Les gestes de chaque acteur</w:t>
      </w:r>
    </w:p>
    <w:tbl>
      <w:tblPr>
        <w:tblStyle w:val="TableGrid"/>
        <w:tblW w:type="auto" w:w="0"/>
        <w:jc w:val="left"/>
        <w:tblLook w:firstColumn="1" w:firstRow="1" w:lastColumn="0" w:lastRow="0" w:noHBand="0" w:noVBand="1" w:val="04A0"/>
      </w:tblPr>
      <w:tblGrid>
        <w:gridCol w:w="2946"/>
        <w:gridCol w:w="2946"/>
        <w:gridCol w:w="2946"/>
      </w:tblGrid>
      <w:tr>
        <w:tc>
          <w:tcPr>
            <w:tcW w:type="dxa" w:w="2494"/>
            <w:shd w:val="clear" w:color="auto" w:fill="E2E5EE"/>
          </w:tcPr>
          <w:p>
            <w:pPr>
              <w:spacing w:after="40"/>
            </w:pPr>
            <w:r/>
            <w:r>
              <w:rPr>
                <w:b/>
                <w:sz w:val="19"/>
              </w:rPr>
              <w:t>Acteur</w:t>
            </w:r>
          </w:p>
        </w:tc>
        <w:tc>
          <w:tcPr>
            <w:tcW w:type="dxa" w:w="5046"/>
            <w:shd w:val="clear" w:color="auto" w:fill="E2E5EE"/>
          </w:tcPr>
          <w:p>
            <w:pPr>
              <w:spacing w:after="40"/>
            </w:pPr>
            <w:r/>
            <w:r>
              <w:rPr>
                <w:b/>
                <w:sz w:val="19"/>
              </w:rPr>
              <w:t>Geste</w:t>
            </w:r>
          </w:p>
        </w:tc>
        <w:tc>
          <w:tcPr>
            <w:tcW w:type="dxa" w:w="964"/>
            <w:shd w:val="clear" w:color="auto" w:fill="E2E5EE"/>
          </w:tcPr>
          <w:p>
            <w:pPr>
              <w:spacing w:after="40"/>
            </w:pPr>
            <w:r/>
            <w:r>
              <w:rPr>
                <w:b/>
                <w:sz w:val="19"/>
              </w:rPr>
              <w:t>Étape</w:t>
            </w:r>
          </w:p>
        </w:tc>
      </w:tr>
      <w:tr>
        <w:tc>
          <w:tcPr>
            <w:tcW w:type="dxa" w:w="2494"/>
          </w:tcPr>
          <w:p>
            <w:pPr>
              <w:spacing w:after="40"/>
            </w:pPr>
            <w:r>
              <w:rPr>
                <w:b/>
                <w:sz w:val="19"/>
              </w:rPr>
              <w:t>Administrateur d'installation</w:t>
            </w:r>
          </w:p>
        </w:tc>
        <w:tc>
          <w:tcPr>
            <w:tcW w:type="dxa" w:w="5046"/>
          </w:tcPr>
          <w:p>
            <w:pPr>
              <w:spacing w:after="40"/>
            </w:pPr>
            <w:r>
              <w:rPr>
                <w:sz w:val="19"/>
              </w:rPr>
              <w:t>se connecter sur une plateforme vide</w:t>
            </w:r>
          </w:p>
        </w:tc>
        <w:tc>
          <w:tcPr>
            <w:tcW w:type="dxa" w:w="964"/>
          </w:tcPr>
          <w:p>
            <w:pPr>
              <w:spacing w:after="40"/>
            </w:pPr>
            <w:r>
              <w:rPr>
                <w:sz w:val="19"/>
              </w:rPr>
              <w:t>A1</w:t>
            </w:r>
          </w:p>
        </w:tc>
      </w:tr>
      <w:tr>
        <w:tc>
          <w:tcPr>
            <w:tcW w:type="dxa" w:w="2494"/>
          </w:tcPr>
          <w:p>
            <w:pPr>
              <w:spacing w:after="40"/>
            </w:pPr>
          </w:p>
        </w:tc>
        <w:tc>
          <w:tcPr>
            <w:tcW w:type="dxa" w:w="5046"/>
          </w:tcPr>
          <w:p>
            <w:pPr>
              <w:spacing w:after="40"/>
            </w:pPr>
            <w:r>
              <w:rPr>
                <w:sz w:val="19"/>
              </w:rPr>
              <w:t>consulter la fiche d'Ingenosya et vérifier Ingenosya, Telma, l'ENI et l'ISPM</w:t>
            </w:r>
          </w:p>
        </w:tc>
        <w:tc>
          <w:tcPr>
            <w:tcW w:type="dxa" w:w="964"/>
          </w:tcPr>
          <w:p>
            <w:pPr>
              <w:spacing w:after="40"/>
            </w:pPr>
            <w:r>
              <w:rPr>
                <w:sz w:val="19"/>
              </w:rPr>
              <w:t>A6</w:t>
            </w:r>
          </w:p>
        </w:tc>
      </w:tr>
      <w:tr>
        <w:tc>
          <w:tcPr>
            <w:tcW w:type="dxa" w:w="2494"/>
          </w:tcPr>
          <w:p>
            <w:pPr>
              <w:spacing w:after="40"/>
            </w:pPr>
          </w:p>
        </w:tc>
        <w:tc>
          <w:tcPr>
            <w:tcW w:type="dxa" w:w="5046"/>
          </w:tcPr>
          <w:p>
            <w:pPr>
              <w:spacing w:after="40"/>
            </w:pPr>
            <w:r>
              <w:rPr>
                <w:sz w:val="19"/>
              </w:rPr>
              <w:t>laisser Soa Digital en attente de vérification</w:t>
            </w:r>
          </w:p>
        </w:tc>
        <w:tc>
          <w:tcPr>
            <w:tcW w:type="dxa" w:w="964"/>
          </w:tcPr>
          <w:p>
            <w:pPr>
              <w:spacing w:after="40"/>
            </w:pPr>
            <w:r>
              <w:rPr>
                <w:sz w:val="19"/>
              </w:rPr>
              <w:t>A6</w:t>
            </w:r>
          </w:p>
        </w:tc>
      </w:tr>
      <w:tr>
        <w:tc>
          <w:tcPr>
            <w:tcW w:type="dxa" w:w="2494"/>
          </w:tcPr>
          <w:p>
            <w:pPr>
              <w:spacing w:after="40"/>
            </w:pPr>
          </w:p>
        </w:tc>
        <w:tc>
          <w:tcPr>
            <w:tcW w:type="dxa" w:w="5046"/>
          </w:tcPr>
          <w:p>
            <w:pPr>
              <w:spacing w:after="40"/>
            </w:pPr>
            <w:r>
              <w:rPr>
                <w:sz w:val="19"/>
              </w:rPr>
              <w:t>créer le compte de Nirina Rasoamanana, seconde administratrice</w:t>
            </w:r>
          </w:p>
        </w:tc>
        <w:tc>
          <w:tcPr>
            <w:tcW w:type="dxa" w:w="964"/>
          </w:tcPr>
          <w:p>
            <w:pPr>
              <w:spacing w:after="40"/>
            </w:pPr>
            <w:r>
              <w:rPr>
                <w:sz w:val="19"/>
              </w:rPr>
              <w:t>A6</w:t>
            </w:r>
          </w:p>
        </w:tc>
      </w:tr>
      <w:tr>
        <w:tc>
          <w:tcPr>
            <w:tcW w:type="dxa" w:w="2494"/>
          </w:tcPr>
          <w:p>
            <w:pPr>
              <w:spacing w:after="40"/>
            </w:pPr>
            <w:r>
              <w:rPr>
                <w:b/>
                <w:sz w:val="19"/>
              </w:rPr>
              <w:t>ENI (établissement)</w:t>
            </w:r>
          </w:p>
        </w:tc>
        <w:tc>
          <w:tcPr>
            <w:tcW w:type="dxa" w:w="5046"/>
          </w:tcPr>
          <w:p>
            <w:pPr>
              <w:spacing w:after="40"/>
            </w:pPr>
            <w:r>
              <w:rPr>
                <w:sz w:val="19"/>
              </w:rPr>
              <w:t>s'inscrire, se connecter</w:t>
            </w:r>
          </w:p>
        </w:tc>
        <w:tc>
          <w:tcPr>
            <w:tcW w:type="dxa" w:w="964"/>
          </w:tcPr>
          <w:p>
            <w:pPr>
              <w:spacing w:after="40"/>
            </w:pPr>
            <w:r>
              <w:rPr>
                <w:sz w:val="19"/>
              </w:rPr>
              <w:t>A2</w:t>
            </w:r>
          </w:p>
        </w:tc>
      </w:tr>
      <w:tr>
        <w:tc>
          <w:tcPr>
            <w:tcW w:type="dxa" w:w="2494"/>
          </w:tcPr>
          <w:p>
            <w:pPr>
              <w:spacing w:after="40"/>
            </w:pPr>
          </w:p>
        </w:tc>
        <w:tc>
          <w:tcPr>
            <w:tcW w:type="dxa" w:w="5046"/>
          </w:tcPr>
          <w:p>
            <w:pPr>
              <w:spacing w:after="40"/>
            </w:pPr>
            <w:r>
              <w:rPr>
                <w:sz w:val="19"/>
              </w:rPr>
              <w:t>déclarer les deux filières enseignées</w:t>
            </w:r>
          </w:p>
        </w:tc>
        <w:tc>
          <w:tcPr>
            <w:tcW w:type="dxa" w:w="964"/>
          </w:tcPr>
          <w:p>
            <w:pPr>
              <w:spacing w:after="40"/>
            </w:pPr>
            <w:r>
              <w:rPr>
                <w:sz w:val="19"/>
              </w:rPr>
              <w:t>A7</w:t>
            </w:r>
          </w:p>
        </w:tc>
      </w:tr>
      <w:tr>
        <w:tc>
          <w:tcPr>
            <w:tcW w:type="dxa" w:w="2494"/>
          </w:tcPr>
          <w:p>
            <w:pPr>
              <w:spacing w:after="40"/>
            </w:pPr>
          </w:p>
        </w:tc>
        <w:tc>
          <w:tcPr>
            <w:tcW w:type="dxa" w:w="5046"/>
          </w:tcPr>
          <w:p>
            <w:pPr>
              <w:spacing w:after="40"/>
            </w:pPr>
            <w:r>
              <w:rPr>
                <w:sz w:val="19"/>
              </w:rPr>
              <w:t>importer la promotion « L3 Informatique 2025-2026 » après prévisualisation</w:t>
            </w:r>
          </w:p>
        </w:tc>
        <w:tc>
          <w:tcPr>
            <w:tcW w:type="dxa" w:w="964"/>
          </w:tcPr>
          <w:p>
            <w:pPr>
              <w:spacing w:after="40"/>
            </w:pPr>
            <w:r>
              <w:rPr>
                <w:sz w:val="19"/>
              </w:rPr>
              <w:t>A7</w:t>
            </w:r>
          </w:p>
        </w:tc>
      </w:tr>
      <w:tr>
        <w:tc>
          <w:tcPr>
            <w:tcW w:type="dxa" w:w="2494"/>
          </w:tcPr>
          <w:p>
            <w:pPr>
              <w:spacing w:after="40"/>
            </w:pPr>
          </w:p>
        </w:tc>
        <w:tc>
          <w:tcPr>
            <w:tcW w:type="dxa" w:w="5046"/>
          </w:tcPr>
          <w:p>
            <w:pPr>
              <w:spacing w:after="40"/>
            </w:pPr>
            <w:r>
              <w:rPr>
                <w:sz w:val="19"/>
              </w:rPr>
              <w:t>créer le compte de Mialy Randrianarisoa et relever son lien d'activation</w:t>
            </w:r>
          </w:p>
        </w:tc>
        <w:tc>
          <w:tcPr>
            <w:tcW w:type="dxa" w:w="964"/>
          </w:tcPr>
          <w:p>
            <w:pPr>
              <w:spacing w:after="40"/>
            </w:pPr>
            <w:r>
              <w:rPr>
                <w:sz w:val="19"/>
              </w:rPr>
              <w:t>A7</w:t>
            </w:r>
          </w:p>
        </w:tc>
      </w:tr>
      <w:tr>
        <w:tc>
          <w:tcPr>
            <w:tcW w:type="dxa" w:w="2494"/>
          </w:tcPr>
          <w:p>
            <w:pPr>
              <w:spacing w:after="40"/>
            </w:pPr>
          </w:p>
        </w:tc>
        <w:tc>
          <w:tcPr>
            <w:tcW w:type="dxa" w:w="5046"/>
          </w:tcPr>
          <w:p>
            <w:pPr>
              <w:spacing w:after="40"/>
            </w:pPr>
            <w:r>
              <w:rPr>
                <w:sz w:val="19"/>
              </w:rPr>
              <w:t>valider le rattachement d'Hasina, refuser celui de Rivo, vérifier l'identité d'Hasina</w:t>
            </w:r>
          </w:p>
        </w:tc>
        <w:tc>
          <w:tcPr>
            <w:tcW w:type="dxa" w:w="964"/>
          </w:tcPr>
          <w:p>
            <w:pPr>
              <w:spacing w:after="40"/>
            </w:pPr>
            <w:r>
              <w:rPr>
                <w:sz w:val="19"/>
              </w:rPr>
              <w:t>A9</w:t>
            </w:r>
          </w:p>
        </w:tc>
      </w:tr>
      <w:tr>
        <w:tc>
          <w:tcPr>
            <w:tcW w:type="dxa" w:w="2494"/>
          </w:tcPr>
          <w:p>
            <w:pPr>
              <w:spacing w:after="40"/>
            </w:pPr>
          </w:p>
        </w:tc>
        <w:tc>
          <w:tcPr>
            <w:tcW w:type="dxa" w:w="5046"/>
          </w:tcPr>
          <w:p>
            <w:pPr>
              <w:spacing w:after="40"/>
            </w:pPr>
            <w:r>
              <w:rPr>
                <w:sz w:val="19"/>
              </w:rPr>
              <w:t>publier une annonce de cohorte pour sa promotion</w:t>
            </w:r>
          </w:p>
        </w:tc>
        <w:tc>
          <w:tcPr>
            <w:tcW w:type="dxa" w:w="964"/>
          </w:tcPr>
          <w:p>
            <w:pPr>
              <w:spacing w:after="40"/>
            </w:pPr>
            <w:r>
              <w:rPr>
                <w:sz w:val="19"/>
              </w:rPr>
              <w:t>A15</w:t>
            </w:r>
          </w:p>
        </w:tc>
      </w:tr>
      <w:tr>
        <w:tc>
          <w:tcPr>
            <w:tcW w:type="dxa" w:w="2494"/>
          </w:tcPr>
          <w:p>
            <w:pPr>
              <w:spacing w:after="40"/>
            </w:pPr>
          </w:p>
        </w:tc>
        <w:tc>
          <w:tcPr>
            <w:tcW w:type="dxa" w:w="5046"/>
          </w:tcPr>
          <w:p>
            <w:pPr>
              <w:spacing w:after="40"/>
            </w:pPr>
            <w:r>
              <w:rPr>
                <w:sz w:val="19"/>
              </w:rPr>
              <w:t>retirer Niaina Randriambola des effectifs, avec motif</w:t>
            </w:r>
          </w:p>
        </w:tc>
        <w:tc>
          <w:tcPr>
            <w:tcW w:type="dxa" w:w="964"/>
          </w:tcPr>
          <w:p>
            <w:pPr>
              <w:spacing w:after="40"/>
            </w:pPr>
            <w:r>
              <w:rPr>
                <w:sz w:val="19"/>
              </w:rPr>
              <w:t>A16</w:t>
            </w:r>
          </w:p>
        </w:tc>
      </w:tr>
      <w:tr>
        <w:tc>
          <w:tcPr>
            <w:tcW w:type="dxa" w:w="2494"/>
          </w:tcPr>
          <w:p>
            <w:pPr>
              <w:spacing w:after="40"/>
            </w:pPr>
            <w:r>
              <w:rPr>
                <w:b/>
                <w:sz w:val="19"/>
              </w:rPr>
              <w:t>ISPM (établissement)</w:t>
            </w:r>
          </w:p>
        </w:tc>
        <w:tc>
          <w:tcPr>
            <w:tcW w:type="dxa" w:w="5046"/>
          </w:tcPr>
          <w:p>
            <w:pPr>
              <w:spacing w:after="40"/>
            </w:pPr>
            <w:r>
              <w:rPr>
                <w:sz w:val="19"/>
              </w:rPr>
              <w:t>s'inscrire et trouver la demande de rattachement de Toky</w:t>
            </w:r>
          </w:p>
        </w:tc>
        <w:tc>
          <w:tcPr>
            <w:tcW w:type="dxa" w:w="964"/>
          </w:tcPr>
          <w:p>
            <w:pPr>
              <w:spacing w:after="40"/>
            </w:pPr>
            <w:r>
              <w:rPr>
                <w:sz w:val="19"/>
              </w:rPr>
              <w:t>A4</w:t>
            </w:r>
          </w:p>
        </w:tc>
      </w:tr>
      <w:tr>
        <w:tc>
          <w:tcPr>
            <w:tcW w:type="dxa" w:w="2494"/>
          </w:tcPr>
          <w:p>
            <w:pPr>
              <w:spacing w:after="40"/>
            </w:pPr>
          </w:p>
        </w:tc>
        <w:tc>
          <w:tcPr>
            <w:tcW w:type="dxa" w:w="5046"/>
          </w:tcPr>
          <w:p>
            <w:pPr>
              <w:spacing w:after="40"/>
            </w:pPr>
            <w:r>
              <w:rPr>
                <w:sz w:val="19"/>
              </w:rPr>
              <w:t>valider le rattachement de Toky</w:t>
            </w:r>
          </w:p>
        </w:tc>
        <w:tc>
          <w:tcPr>
            <w:tcW w:type="dxa" w:w="964"/>
          </w:tcPr>
          <w:p>
            <w:pPr>
              <w:spacing w:after="40"/>
            </w:pPr>
            <w:r>
              <w:rPr>
                <w:sz w:val="19"/>
              </w:rPr>
              <w:t>A9</w:t>
            </w:r>
          </w:p>
        </w:tc>
      </w:tr>
      <w:tr>
        <w:tc>
          <w:tcPr>
            <w:tcW w:type="dxa" w:w="2494"/>
          </w:tcPr>
          <w:p>
            <w:pPr>
              <w:spacing w:after="40"/>
            </w:pPr>
            <w:r>
              <w:rPr>
                <w:b/>
                <w:sz w:val="19"/>
              </w:rPr>
              <w:t>Ingenosya (entreprise)</w:t>
            </w:r>
          </w:p>
        </w:tc>
        <w:tc>
          <w:tcPr>
            <w:tcW w:type="dxa" w:w="5046"/>
          </w:tcPr>
          <w:p>
            <w:pPr>
              <w:spacing w:after="40"/>
            </w:pPr>
            <w:r>
              <w:rPr>
                <w:sz w:val="19"/>
              </w:rPr>
              <w:t>s'inscrire</w:t>
            </w:r>
          </w:p>
        </w:tc>
        <w:tc>
          <w:tcPr>
            <w:tcW w:type="dxa" w:w="964"/>
          </w:tcPr>
          <w:p>
            <w:pPr>
              <w:spacing w:after="40"/>
            </w:pPr>
            <w:r>
              <w:rPr>
                <w:sz w:val="19"/>
              </w:rPr>
              <w:t>A5</w:t>
            </w:r>
          </w:p>
        </w:tc>
      </w:tr>
      <w:tr>
        <w:tc>
          <w:tcPr>
            <w:tcW w:type="dxa" w:w="2494"/>
          </w:tcPr>
          <w:p>
            <w:pPr>
              <w:spacing w:after="40"/>
            </w:pPr>
          </w:p>
        </w:tc>
        <w:tc>
          <w:tcPr>
            <w:tcW w:type="dxa" w:w="5046"/>
          </w:tcPr>
          <w:p>
            <w:pPr>
              <w:spacing w:after="40"/>
            </w:pPr>
            <w:r>
              <w:rPr>
                <w:sz w:val="19"/>
              </w:rPr>
              <w:t>compléter sa fiche, publier deux offres avec questionnaire, en modifier une</w:t>
            </w:r>
          </w:p>
        </w:tc>
        <w:tc>
          <w:tcPr>
            <w:tcW w:type="dxa" w:w="964"/>
          </w:tcPr>
          <w:p>
            <w:pPr>
              <w:spacing w:after="40"/>
            </w:pPr>
            <w:r>
              <w:rPr>
                <w:sz w:val="19"/>
              </w:rPr>
              <w:t>A10</w:t>
            </w:r>
          </w:p>
        </w:tc>
      </w:tr>
      <w:tr>
        <w:tc>
          <w:tcPr>
            <w:tcW w:type="dxa" w:w="2494"/>
          </w:tcPr>
          <w:p>
            <w:pPr>
              <w:spacing w:after="40"/>
            </w:pPr>
          </w:p>
        </w:tc>
        <w:tc>
          <w:tcPr>
            <w:tcW w:type="dxa" w:w="5046"/>
          </w:tcPr>
          <w:p>
            <w:pPr>
              <w:spacing w:after="40"/>
            </w:pPr>
            <w:r>
              <w:rPr>
                <w:sz w:val="19"/>
              </w:rPr>
              <w:t>examiner les candidatures, recruter Hasina, refuser Toky, écrire à Hasina</w:t>
            </w:r>
          </w:p>
        </w:tc>
        <w:tc>
          <w:tcPr>
            <w:tcW w:type="dxa" w:w="964"/>
          </w:tcPr>
          <w:p>
            <w:pPr>
              <w:spacing w:after="40"/>
            </w:pPr>
            <w:r>
              <w:rPr>
                <w:sz w:val="19"/>
              </w:rPr>
              <w:t>A13</w:t>
            </w:r>
          </w:p>
        </w:tc>
      </w:tr>
      <w:tr>
        <w:tc>
          <w:tcPr>
            <w:tcW w:type="dxa" w:w="2494"/>
          </w:tcPr>
          <w:p>
            <w:pPr>
              <w:spacing w:after="40"/>
            </w:pPr>
          </w:p>
        </w:tc>
        <w:tc>
          <w:tcPr>
            <w:tcW w:type="dxa" w:w="5046"/>
          </w:tcPr>
          <w:p>
            <w:pPr>
              <w:spacing w:after="40"/>
            </w:pPr>
            <w:r>
              <w:rPr>
                <w:sz w:val="19"/>
              </w:rPr>
              <w:t>consulter le profil de sa recrue</w:t>
            </w:r>
          </w:p>
        </w:tc>
        <w:tc>
          <w:tcPr>
            <w:tcW w:type="dxa" w:w="964"/>
          </w:tcPr>
          <w:p>
            <w:pPr>
              <w:spacing w:after="40"/>
            </w:pPr>
            <w:r>
              <w:rPr>
                <w:sz w:val="19"/>
              </w:rPr>
              <w:t>A17</w:t>
            </w:r>
          </w:p>
        </w:tc>
      </w:tr>
      <w:tr>
        <w:tc>
          <w:tcPr>
            <w:tcW w:type="dxa" w:w="2494"/>
          </w:tcPr>
          <w:p>
            <w:pPr>
              <w:spacing w:after="40"/>
            </w:pPr>
          </w:p>
        </w:tc>
        <w:tc>
          <w:tcPr>
            <w:tcW w:type="dxa" w:w="5046"/>
          </w:tcPr>
          <w:p>
            <w:pPr>
              <w:spacing w:after="40"/>
            </w:pPr>
            <w:r>
              <w:rPr>
                <w:sz w:val="19"/>
              </w:rPr>
              <w:t>changer son mot de passe</w:t>
            </w:r>
          </w:p>
        </w:tc>
        <w:tc>
          <w:tcPr>
            <w:tcW w:type="dxa" w:w="964"/>
          </w:tcPr>
          <w:p>
            <w:pPr>
              <w:spacing w:after="40"/>
            </w:pPr>
            <w:r>
              <w:rPr>
                <w:sz w:val="19"/>
              </w:rPr>
              <w:t>A18</w:t>
            </w:r>
          </w:p>
        </w:tc>
      </w:tr>
      <w:tr>
        <w:tc>
          <w:tcPr>
            <w:tcW w:type="dxa" w:w="2494"/>
          </w:tcPr>
          <w:p>
            <w:pPr>
              <w:spacing w:after="40"/>
            </w:pPr>
            <w:r>
              <w:rPr>
                <w:b/>
                <w:sz w:val="19"/>
              </w:rPr>
              <w:t>Telma (entreprise)</w:t>
            </w:r>
          </w:p>
        </w:tc>
        <w:tc>
          <w:tcPr>
            <w:tcW w:type="dxa" w:w="5046"/>
          </w:tcPr>
          <w:p>
            <w:pPr>
              <w:spacing w:after="40"/>
            </w:pPr>
            <w:r>
              <w:rPr>
                <w:sz w:val="19"/>
              </w:rPr>
              <w:t>s'inscrire</w:t>
            </w:r>
          </w:p>
        </w:tc>
        <w:tc>
          <w:tcPr>
            <w:tcW w:type="dxa" w:w="964"/>
          </w:tcPr>
          <w:p>
            <w:pPr>
              <w:spacing w:after="40"/>
            </w:pPr>
            <w:r>
              <w:rPr>
                <w:sz w:val="19"/>
              </w:rPr>
              <w:t>A5</w:t>
            </w:r>
          </w:p>
        </w:tc>
      </w:tr>
      <w:tr>
        <w:tc>
          <w:tcPr>
            <w:tcW w:type="dxa" w:w="2494"/>
          </w:tcPr>
          <w:p>
            <w:pPr>
              <w:spacing w:after="40"/>
            </w:pPr>
          </w:p>
        </w:tc>
        <w:tc>
          <w:tcPr>
            <w:tcW w:type="dxa" w:w="5046"/>
          </w:tcPr>
          <w:p>
            <w:pPr>
              <w:spacing w:after="40"/>
            </w:pPr>
            <w:r>
              <w:rPr>
                <w:sz w:val="19"/>
              </w:rPr>
              <w:t>publier une offre d'administrateur réseaux</w:t>
            </w:r>
          </w:p>
        </w:tc>
        <w:tc>
          <w:tcPr>
            <w:tcW w:type="dxa" w:w="964"/>
          </w:tcPr>
          <w:p>
            <w:pPr>
              <w:spacing w:after="40"/>
            </w:pPr>
            <w:r>
              <w:rPr>
                <w:sz w:val="19"/>
              </w:rPr>
              <w:t>A10</w:t>
            </w:r>
          </w:p>
        </w:tc>
      </w:tr>
      <w:tr>
        <w:tc>
          <w:tcPr>
            <w:tcW w:type="dxa" w:w="2494"/>
          </w:tcPr>
          <w:p>
            <w:pPr>
              <w:spacing w:after="40"/>
            </w:pPr>
          </w:p>
        </w:tc>
        <w:tc>
          <w:tcPr>
            <w:tcW w:type="dxa" w:w="5046"/>
          </w:tcPr>
          <w:p>
            <w:pPr>
              <w:spacing w:after="40"/>
            </w:pPr>
            <w:r>
              <w:rPr>
                <w:sz w:val="19"/>
              </w:rPr>
              <w:t>rechercher des candidats, découvrir l'annonce de cohorte de l'ENI</w:t>
            </w:r>
          </w:p>
        </w:tc>
        <w:tc>
          <w:tcPr>
            <w:tcW w:type="dxa" w:w="964"/>
          </w:tcPr>
          <w:p>
            <w:pPr>
              <w:spacing w:after="40"/>
            </w:pPr>
            <w:r>
              <w:rPr>
                <w:sz w:val="19"/>
              </w:rPr>
              <w:t>A15</w:t>
            </w:r>
          </w:p>
        </w:tc>
      </w:tr>
      <w:tr>
        <w:tc>
          <w:tcPr>
            <w:tcW w:type="dxa" w:w="2494"/>
          </w:tcPr>
          <w:p>
            <w:pPr>
              <w:spacing w:after="40"/>
            </w:pPr>
          </w:p>
        </w:tc>
        <w:tc>
          <w:tcPr>
            <w:tcW w:type="dxa" w:w="5046"/>
          </w:tcPr>
          <w:p>
            <w:pPr>
              <w:spacing w:after="40"/>
            </w:pPr>
            <w:r>
              <w:rPr>
                <w:sz w:val="19"/>
              </w:rPr>
              <w:t>consulter la fiche publique de l'ENI</w:t>
            </w:r>
          </w:p>
        </w:tc>
        <w:tc>
          <w:tcPr>
            <w:tcW w:type="dxa" w:w="964"/>
          </w:tcPr>
          <w:p>
            <w:pPr>
              <w:spacing w:after="40"/>
            </w:pPr>
            <w:r>
              <w:rPr>
                <w:sz w:val="19"/>
              </w:rPr>
              <w:t>A17</w:t>
            </w:r>
          </w:p>
        </w:tc>
      </w:tr>
      <w:tr>
        <w:tc>
          <w:tcPr>
            <w:tcW w:type="dxa" w:w="2494"/>
          </w:tcPr>
          <w:p>
            <w:pPr>
              <w:spacing w:after="40"/>
            </w:pPr>
            <w:r>
              <w:rPr>
                <w:b/>
                <w:sz w:val="19"/>
              </w:rPr>
              <w:t>Soa Digital (entreprise)</w:t>
            </w:r>
          </w:p>
        </w:tc>
        <w:tc>
          <w:tcPr>
            <w:tcW w:type="dxa" w:w="5046"/>
          </w:tcPr>
          <w:p>
            <w:pPr>
              <w:spacing w:after="40"/>
            </w:pPr>
            <w:r>
              <w:rPr>
                <w:sz w:val="19"/>
              </w:rPr>
              <w:t>échouer une première inscription sur la politique de mot de passe, puis s'inscrire</w:t>
            </w:r>
          </w:p>
        </w:tc>
        <w:tc>
          <w:tcPr>
            <w:tcW w:type="dxa" w:w="964"/>
          </w:tcPr>
          <w:p>
            <w:pPr>
              <w:spacing w:after="40"/>
            </w:pPr>
            <w:r>
              <w:rPr>
                <w:sz w:val="19"/>
              </w:rPr>
              <w:t>A5</w:t>
            </w:r>
          </w:p>
        </w:tc>
      </w:tr>
      <w:tr>
        <w:tc>
          <w:tcPr>
            <w:tcW w:type="dxa" w:w="2494"/>
          </w:tcPr>
          <w:p>
            <w:pPr>
              <w:spacing w:after="40"/>
            </w:pPr>
            <w:r>
              <w:rPr>
                <w:b/>
                <w:sz w:val="19"/>
              </w:rPr>
              <w:t>Hasina Rakotoarisoa (étudiante)</w:t>
            </w:r>
          </w:p>
        </w:tc>
        <w:tc>
          <w:tcPr>
            <w:tcW w:type="dxa" w:w="5046"/>
          </w:tcPr>
          <w:p>
            <w:pPr>
              <w:spacing w:after="40"/>
            </w:pPr>
            <w:r>
              <w:rPr>
                <w:sz w:val="19"/>
              </w:rPr>
              <w:t>s'inscrire en choisissant l'ENI, dans une liste de filières restreinte</w:t>
            </w:r>
          </w:p>
        </w:tc>
        <w:tc>
          <w:tcPr>
            <w:tcW w:type="dxa" w:w="964"/>
          </w:tcPr>
          <w:p>
            <w:pPr>
              <w:spacing w:after="40"/>
            </w:pPr>
            <w:r>
              <w:rPr>
                <w:sz w:val="19"/>
              </w:rPr>
              <w:t>A8</w:t>
            </w:r>
          </w:p>
        </w:tc>
      </w:tr>
      <w:tr>
        <w:tc>
          <w:tcPr>
            <w:tcW w:type="dxa" w:w="2494"/>
          </w:tcPr>
          <w:p>
            <w:pPr>
              <w:spacing w:after="40"/>
            </w:pPr>
          </w:p>
        </w:tc>
        <w:tc>
          <w:tcPr>
            <w:tcW w:type="dxa" w:w="5046"/>
          </w:tcPr>
          <w:p>
            <w:pPr>
              <w:spacing w:after="40"/>
            </w:pPr>
            <w:r>
              <w:rPr>
                <w:sz w:val="19"/>
              </w:rPr>
              <w:t>déposer un CV, le faire analyser, retenir et écarter des compétences</w:t>
            </w:r>
          </w:p>
        </w:tc>
        <w:tc>
          <w:tcPr>
            <w:tcW w:type="dxa" w:w="964"/>
          </w:tcPr>
          <w:p>
            <w:pPr>
              <w:spacing w:after="40"/>
            </w:pPr>
            <w:r>
              <w:rPr>
                <w:sz w:val="19"/>
              </w:rPr>
              <w:t>A11</w:t>
            </w:r>
          </w:p>
        </w:tc>
      </w:tr>
      <w:tr>
        <w:tc>
          <w:tcPr>
            <w:tcW w:type="dxa" w:w="2494"/>
          </w:tcPr>
          <w:p>
            <w:pPr>
              <w:spacing w:after="40"/>
            </w:pPr>
          </w:p>
        </w:tc>
        <w:tc>
          <w:tcPr>
            <w:tcW w:type="dxa" w:w="5046"/>
          </w:tcPr>
          <w:p>
            <w:pPr>
              <w:spacing w:after="40"/>
            </w:pPr>
            <w:r>
              <w:rPr>
                <w:sz w:val="19"/>
              </w:rPr>
              <w:t>consulter ses recommandations, passer le questionnaire et postuler chez Ingenosya</w:t>
            </w:r>
          </w:p>
        </w:tc>
        <w:tc>
          <w:tcPr>
            <w:tcW w:type="dxa" w:w="964"/>
          </w:tcPr>
          <w:p>
            <w:pPr>
              <w:spacing w:after="40"/>
            </w:pPr>
            <w:r>
              <w:rPr>
                <w:sz w:val="19"/>
              </w:rPr>
              <w:t>A12</w:t>
            </w:r>
          </w:p>
        </w:tc>
      </w:tr>
      <w:tr>
        <w:tc>
          <w:tcPr>
            <w:tcW w:type="dxa" w:w="2494"/>
          </w:tcPr>
          <w:p>
            <w:pPr>
              <w:spacing w:after="40"/>
            </w:pPr>
          </w:p>
        </w:tc>
        <w:tc>
          <w:tcPr>
            <w:tcW w:type="dxa" w:w="5046"/>
          </w:tcPr>
          <w:p>
            <w:pPr>
              <w:spacing w:after="40"/>
            </w:pPr>
            <w:r>
              <w:rPr>
                <w:sz w:val="19"/>
              </w:rPr>
              <w:t>apprendre son recrutement et répondre au recruteur</w:t>
            </w:r>
          </w:p>
        </w:tc>
        <w:tc>
          <w:tcPr>
            <w:tcW w:type="dxa" w:w="964"/>
          </w:tcPr>
          <w:p>
            <w:pPr>
              <w:spacing w:after="40"/>
            </w:pPr>
            <w:r>
              <w:rPr>
                <w:sz w:val="19"/>
              </w:rPr>
              <w:t>A14</w:t>
            </w:r>
          </w:p>
        </w:tc>
      </w:tr>
      <w:tr>
        <w:tc>
          <w:tcPr>
            <w:tcW w:type="dxa" w:w="2494"/>
          </w:tcPr>
          <w:p>
            <w:pPr>
              <w:spacing w:after="40"/>
            </w:pPr>
          </w:p>
        </w:tc>
        <w:tc>
          <w:tcPr>
            <w:tcW w:type="dxa" w:w="5046"/>
          </w:tcPr>
          <w:p>
            <w:pPr>
              <w:spacing w:after="40"/>
            </w:pPr>
            <w:r>
              <w:rPr>
                <w:sz w:val="19"/>
              </w:rPr>
              <w:t>rechercher des entreprises et consulter une fiche</w:t>
            </w:r>
          </w:p>
        </w:tc>
        <w:tc>
          <w:tcPr>
            <w:tcW w:type="dxa" w:w="964"/>
          </w:tcPr>
          <w:p>
            <w:pPr>
              <w:spacing w:after="40"/>
            </w:pPr>
            <w:r>
              <w:rPr>
                <w:sz w:val="19"/>
              </w:rPr>
              <w:t>A17</w:t>
            </w:r>
          </w:p>
        </w:tc>
      </w:tr>
      <w:tr>
        <w:tc>
          <w:tcPr>
            <w:tcW w:type="dxa" w:w="2494"/>
          </w:tcPr>
          <w:p>
            <w:pPr>
              <w:spacing w:after="40"/>
            </w:pPr>
            <w:r>
              <w:rPr>
                <w:b/>
                <w:sz w:val="19"/>
              </w:rPr>
              <w:t>Toky Andriamahefa (étudiant)</w:t>
            </w:r>
          </w:p>
        </w:tc>
        <w:tc>
          <w:tcPr>
            <w:tcW w:type="dxa" w:w="5046"/>
          </w:tcPr>
          <w:p>
            <w:pPr>
              <w:spacing w:after="40"/>
            </w:pPr>
            <w:r>
              <w:rPr>
                <w:sz w:val="19"/>
              </w:rPr>
              <w:t>s'inscrire avant son université, saisie à la main</w:t>
            </w:r>
          </w:p>
        </w:tc>
        <w:tc>
          <w:tcPr>
            <w:tcW w:type="dxa" w:w="964"/>
          </w:tcPr>
          <w:p>
            <w:pPr>
              <w:spacing w:after="40"/>
            </w:pPr>
            <w:r>
              <w:rPr>
                <w:sz w:val="19"/>
              </w:rPr>
              <w:t>A3</w:t>
            </w:r>
          </w:p>
        </w:tc>
      </w:tr>
      <w:tr>
        <w:tc>
          <w:tcPr>
            <w:tcW w:type="dxa" w:w="2494"/>
          </w:tcPr>
          <w:p>
            <w:pPr>
              <w:spacing w:after="40"/>
            </w:pPr>
          </w:p>
        </w:tc>
        <w:tc>
          <w:tcPr>
            <w:tcW w:type="dxa" w:w="5046"/>
          </w:tcPr>
          <w:p>
            <w:pPr>
              <w:spacing w:after="40"/>
            </w:pPr>
            <w:r>
              <w:rPr>
                <w:sz w:val="19"/>
              </w:rPr>
              <w:t>déposer un CV et postuler aux deux offres d'Ingenosya</w:t>
            </w:r>
          </w:p>
        </w:tc>
        <w:tc>
          <w:tcPr>
            <w:tcW w:type="dxa" w:w="964"/>
          </w:tcPr>
          <w:p>
            <w:pPr>
              <w:spacing w:after="40"/>
            </w:pPr>
            <w:r>
              <w:rPr>
                <w:sz w:val="19"/>
              </w:rPr>
              <w:t>A11, A12</w:t>
            </w:r>
          </w:p>
        </w:tc>
      </w:tr>
      <w:tr>
        <w:tc>
          <w:tcPr>
            <w:tcW w:type="dxa" w:w="2494"/>
          </w:tcPr>
          <w:p>
            <w:pPr>
              <w:spacing w:after="40"/>
            </w:pPr>
          </w:p>
        </w:tc>
        <w:tc>
          <w:tcPr>
            <w:tcW w:type="dxa" w:w="5046"/>
          </w:tcPr>
          <w:p>
            <w:pPr>
              <w:spacing w:after="40"/>
            </w:pPr>
            <w:r>
              <w:rPr>
                <w:sz w:val="19"/>
              </w:rPr>
              <w:t>découvrir un refus et une candidature toujours en cours</w:t>
            </w:r>
          </w:p>
        </w:tc>
        <w:tc>
          <w:tcPr>
            <w:tcW w:type="dxa" w:w="964"/>
          </w:tcPr>
          <w:p>
            <w:pPr>
              <w:spacing w:after="40"/>
            </w:pPr>
            <w:r>
              <w:rPr>
                <w:sz w:val="19"/>
              </w:rPr>
              <w:t>A14</w:t>
            </w:r>
          </w:p>
        </w:tc>
      </w:tr>
      <w:tr>
        <w:tc>
          <w:tcPr>
            <w:tcW w:type="dxa" w:w="2494"/>
          </w:tcPr>
          <w:p>
            <w:pPr>
              <w:spacing w:after="40"/>
            </w:pPr>
          </w:p>
        </w:tc>
        <w:tc>
          <w:tcPr>
            <w:tcW w:type="dxa" w:w="5046"/>
          </w:tcPr>
          <w:p>
            <w:pPr>
              <w:spacing w:after="40"/>
            </w:pPr>
            <w:r>
              <w:rPr>
                <w:sz w:val="19"/>
              </w:rPr>
              <w:t>réinitialiser son mot de passe oublié</w:t>
            </w:r>
          </w:p>
        </w:tc>
        <w:tc>
          <w:tcPr>
            <w:tcW w:type="dxa" w:w="964"/>
          </w:tcPr>
          <w:p>
            <w:pPr>
              <w:spacing w:after="40"/>
            </w:pPr>
            <w:r>
              <w:rPr>
                <w:sz w:val="19"/>
              </w:rPr>
              <w:t>A18</w:t>
            </w:r>
          </w:p>
        </w:tc>
      </w:tr>
      <w:tr>
        <w:tc>
          <w:tcPr>
            <w:tcW w:type="dxa" w:w="2494"/>
          </w:tcPr>
          <w:p>
            <w:pPr>
              <w:spacing w:after="40"/>
            </w:pPr>
            <w:r>
              <w:rPr>
                <w:b/>
                <w:sz w:val="19"/>
              </w:rPr>
              <w:t>Mialy Randrianarisoa (étudiante)</w:t>
            </w:r>
          </w:p>
        </w:tc>
        <w:tc>
          <w:tcPr>
            <w:tcW w:type="dxa" w:w="5046"/>
          </w:tcPr>
          <w:p>
            <w:pPr>
              <w:spacing w:after="40"/>
            </w:pPr>
            <w:r>
              <w:rPr>
                <w:sz w:val="19"/>
              </w:rPr>
              <w:t>activer le compte créé par l'ENI, se connecter</w:t>
            </w:r>
          </w:p>
        </w:tc>
        <w:tc>
          <w:tcPr>
            <w:tcW w:type="dxa" w:w="964"/>
          </w:tcPr>
          <w:p>
            <w:pPr>
              <w:spacing w:after="40"/>
            </w:pPr>
            <w:r>
              <w:rPr>
                <w:sz w:val="19"/>
              </w:rPr>
              <w:t>A8</w:t>
            </w:r>
          </w:p>
        </w:tc>
      </w:tr>
      <w:tr>
        <w:tc>
          <w:tcPr>
            <w:tcW w:type="dxa" w:w="2494"/>
          </w:tcPr>
          <w:p>
            <w:pPr>
              <w:spacing w:after="40"/>
            </w:pPr>
          </w:p>
        </w:tc>
        <w:tc>
          <w:tcPr>
            <w:tcW w:type="dxa" w:w="5046"/>
          </w:tcPr>
          <w:p>
            <w:pPr>
              <w:spacing w:after="40"/>
            </w:pPr>
            <w:r>
              <w:rPr>
                <w:sz w:val="19"/>
              </w:rPr>
              <w:t>déposer un CV numérisé, lu par reconnaissance optique</w:t>
            </w:r>
          </w:p>
        </w:tc>
        <w:tc>
          <w:tcPr>
            <w:tcW w:type="dxa" w:w="964"/>
          </w:tcPr>
          <w:p>
            <w:pPr>
              <w:spacing w:after="40"/>
            </w:pPr>
            <w:r>
              <w:rPr>
                <w:sz w:val="19"/>
              </w:rPr>
              <w:t>A11</w:t>
            </w:r>
          </w:p>
        </w:tc>
      </w:tr>
      <w:tr>
        <w:tc>
          <w:tcPr>
            <w:tcW w:type="dxa" w:w="2494"/>
          </w:tcPr>
          <w:p>
            <w:pPr>
              <w:spacing w:after="40"/>
            </w:pPr>
            <w:r>
              <w:rPr>
                <w:b/>
                <w:sz w:val="19"/>
              </w:rPr>
              <w:t>Fanilo Rabemanantsoa (étudiant importé)</w:t>
            </w:r>
          </w:p>
        </w:tc>
        <w:tc>
          <w:tcPr>
            <w:tcW w:type="dxa" w:w="5046"/>
          </w:tcPr>
          <w:p>
            <w:pPr>
              <w:spacing w:after="40"/>
            </w:pPr>
            <w:r>
              <w:rPr>
                <w:sz w:val="19"/>
              </w:rPr>
              <w:t>activer son compte par le lien de l'import</w:t>
            </w:r>
          </w:p>
        </w:tc>
        <w:tc>
          <w:tcPr>
            <w:tcW w:type="dxa" w:w="964"/>
          </w:tcPr>
          <w:p>
            <w:pPr>
              <w:spacing w:after="40"/>
            </w:pPr>
            <w:r>
              <w:rPr>
                <w:sz w:val="19"/>
              </w:rPr>
              <w:t>A8</w:t>
            </w:r>
          </w:p>
        </w:tc>
      </w:tr>
      <w:tr>
        <w:tc>
          <w:tcPr>
            <w:tcW w:type="dxa" w:w="2494"/>
          </w:tcPr>
          <w:p>
            <w:pPr>
              <w:spacing w:after="40"/>
            </w:pPr>
            <w:r>
              <w:rPr>
                <w:b/>
                <w:sz w:val="19"/>
              </w:rPr>
              <w:t>Rivo Rajaonary (étudiant)</w:t>
            </w:r>
          </w:p>
        </w:tc>
        <w:tc>
          <w:tcPr>
            <w:tcW w:type="dxa" w:w="5046"/>
          </w:tcPr>
          <w:p>
            <w:pPr>
              <w:spacing w:after="40"/>
            </w:pPr>
            <w:r>
              <w:rPr>
                <w:sz w:val="19"/>
              </w:rPr>
              <w:t>s'inscrire en se déclarant de l'ENI ; voir son rattachement refusé</w:t>
            </w:r>
          </w:p>
        </w:tc>
        <w:tc>
          <w:tcPr>
            <w:tcW w:type="dxa" w:w="964"/>
          </w:tcPr>
          <w:p>
            <w:pPr>
              <w:spacing w:after="40"/>
            </w:pPr>
            <w:r>
              <w:rPr>
                <w:sz w:val="19"/>
              </w:rPr>
              <w:t>A8, A9</w:t>
            </w:r>
          </w:p>
        </w:tc>
      </w:tr>
    </w:tbl>
    <w:p>
      <w:pPr>
        <w:spacing w:after="40"/>
      </w:pPr>
    </w:p>
    <w:p>
      <w:r>
        <w:br w:type="page"/>
      </w:r>
    </w:p>
    <w:p>
      <w:pPr>
        <w:pStyle w:val="Heading2"/>
      </w:pPr>
      <w:r>
        <w:t>3.3 Première partie : une plateforme au premier jour</w:t>
      </w:r>
    </w:p>
    <w:p>
      <w:r>
        <w:rPr>
          <w:sz w:val="22"/>
        </w:rPr>
        <w:t>Dix-huit étapes, de l'installation au recrutement. Chacune s'ouvre sur ce qui s'y joue, puis montre les écrans dans l'ordre où les acteurs les rencontrent.</w:t>
      </w:r>
    </w:p>
    <w:p>
      <w:pPr>
        <w:pStyle w:val="Heading3"/>
      </w:pPr>
      <w:r>
        <w:t>3.3.1  La plateforme au premier jour</w:t>
      </w:r>
    </w:p>
    <w:p>
      <w:r>
        <w:rPr>
          <w:sz w:val="22"/>
        </w:rPr>
        <w:t>Le récit commence sur une installation neuve. La base ne contient que le référentiel des 56 compétences, livré avec la plateforme, et le compte de l'administrateur créé à la mise en service. Aucun étudiant, aucune entreprise, aucun établissement.</w:t>
      </w:r>
    </w:p>
    <w:p>
      <w:r>
        <w:rPr>
          <w:i/>
          <w:sz w:val="22"/>
        </w:rPr>
        <w:t>Acteurs : Visiteur, Administrateur d'installation.</w:t>
      </w:r>
    </w:p>
    <w:p>
      <w:pPr>
        <w:keepNext/>
        <w:jc w:val="center"/>
      </w:pPr>
      <w:r>
        <w:drawing>
          <wp:inline xmlns:a="http://schemas.openxmlformats.org/drawingml/2006/main" xmlns:pic="http://schemas.openxmlformats.org/drawingml/2006/picture">
            <wp:extent cx="5400000" cy="3375000"/>
            <wp:docPr id="1" name="Picture 1"/>
            <wp:cNvGraphicFramePr>
              <a:graphicFrameLocks noChangeAspect="1"/>
            </wp:cNvGraphicFramePr>
            <a:graphic>
              <a:graphicData uri="http://schemas.openxmlformats.org/drawingml/2006/picture">
                <pic:pic>
                  <pic:nvPicPr>
                    <pic:cNvPr id="0" name="001-a1.png"/>
                    <pic:cNvPicPr/>
                  </pic:nvPicPr>
                  <pic:blipFill>
                    <a:blip r:embed="rId9"/>
                    <a:stretch>
                      <a:fillRect/>
                    </a:stretch>
                  </pic:blipFill>
                  <pic:spPr>
                    <a:xfrm>
                      <a:off x="0" y="0"/>
                      <a:ext cx="5400000" cy="3375000"/>
                    </a:xfrm>
                    <a:prstGeom prst="rect"/>
                  </pic:spPr>
                </pic:pic>
              </a:graphicData>
            </a:graphic>
          </wp:inline>
        </w:drawing>
      </w:r>
    </w:p>
    <w:p>
      <w:pPr>
        <w:spacing w:before="0" w:after="240"/>
      </w:pPr>
      <w:r>
        <w:rPr>
          <w:color w:val="565B6E"/>
          <w:sz w:val="18"/>
        </w:rPr>
        <w:t>Figure 3.1 : La page d'accueil</w:t>
      </w:r>
    </w:p>
    <w:p>
      <w:r>
        <w:rPr>
          <w:sz w:val="22"/>
        </w:rPr>
        <w:t>La page d'accueil s'adresse aux trois publics sans en privilégier aucun : l'étudiant qui cherche un stage, l'entreprise qui en propose, l'établissement qui accompagne ses promotions. Chacun y trouve sa porte d'entrée.</w:t>
      </w:r>
    </w:p>
    <w:p>
      <w:pPr>
        <w:keepNext/>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002-a1.png"/>
                    <pic:cNvPicPr/>
                  </pic:nvPicPr>
                  <pic:blipFill>
                    <a:blip r:embed="rId10"/>
                    <a:stretch>
                      <a:fillRect/>
                    </a:stretch>
                  </pic:blipFill>
                  <pic:spPr>
                    <a:xfrm>
                      <a:off x="0" y="0"/>
                      <a:ext cx="5400000" cy="3375000"/>
                    </a:xfrm>
                    <a:prstGeom prst="rect"/>
                  </pic:spPr>
                </pic:pic>
              </a:graphicData>
            </a:graphic>
          </wp:inline>
        </w:drawing>
      </w:r>
    </w:p>
    <w:p>
      <w:pPr>
        <w:spacing w:before="0" w:after="240"/>
      </w:pPr>
      <w:r>
        <w:rPr>
          <w:color w:val="565B6E"/>
          <w:sz w:val="18"/>
        </w:rPr>
        <w:t>Figure 3.2 : La présentation de la plateforme</w:t>
      </w:r>
    </w:p>
    <w:p>
      <w:r>
        <w:rPr>
          <w:sz w:val="22"/>
        </w:rPr>
        <w:t>Accessible sans compte, cette page expose la démarche et le fonctionnement de la plateforme à qui la découvre.</w:t>
      </w:r>
    </w:p>
    <w:p>
      <w:pPr>
        <w:keepNext/>
        <w:jc w:val="center"/>
      </w:pPr>
      <w:r>
        <w:drawing>
          <wp:inline xmlns:a="http://schemas.openxmlformats.org/drawingml/2006/main" xmlns:pic="http://schemas.openxmlformats.org/drawingml/2006/picture">
            <wp:extent cx="5400000" cy="3375000"/>
            <wp:docPr id="3" name="Picture 3"/>
            <wp:cNvGraphicFramePr>
              <a:graphicFrameLocks noChangeAspect="1"/>
            </wp:cNvGraphicFramePr>
            <a:graphic>
              <a:graphicData uri="http://schemas.openxmlformats.org/drawingml/2006/picture">
                <pic:pic>
                  <pic:nvPicPr>
                    <pic:cNvPr id="0" name="003-a1.png"/>
                    <pic:cNvPicPr/>
                  </pic:nvPicPr>
                  <pic:blipFill>
                    <a:blip r:embed="rId11"/>
                    <a:stretch>
                      <a:fillRect/>
                    </a:stretch>
                  </pic:blipFill>
                  <pic:spPr>
                    <a:xfrm>
                      <a:off x="0" y="0"/>
                      <a:ext cx="5400000" cy="3375000"/>
                    </a:xfrm>
                    <a:prstGeom prst="rect"/>
                  </pic:spPr>
                </pic:pic>
              </a:graphicData>
            </a:graphic>
          </wp:inline>
        </w:drawing>
      </w:r>
    </w:p>
    <w:p>
      <w:pPr>
        <w:spacing w:before="0" w:after="240"/>
      </w:pPr>
      <w:r>
        <w:rPr>
          <w:color w:val="565B6E"/>
          <w:sz w:val="18"/>
        </w:rPr>
        <w:t>Figure 3.3 : La connexion de l'administrateur</w:t>
      </w:r>
    </w:p>
    <w:p>
      <w:r>
        <w:rPr>
          <w:sz w:val="22"/>
        </w:rPr>
        <w:t>L'administration dispose d'un accès distinct. Son premier compte n'est pas créé par un formulaire public : il est installé avec la plateforme, faute de quoi personne ne pourrait vérifier le premier établissement inscrit.</w:t>
      </w:r>
    </w:p>
    <w:p>
      <w:pPr>
        <w:keepNext/>
        <w:jc w:val="center"/>
      </w:pPr>
      <w:r>
        <w:drawing>
          <wp:inline xmlns:a="http://schemas.openxmlformats.org/drawingml/2006/main" xmlns:pic="http://schemas.openxmlformats.org/drawingml/2006/picture">
            <wp:extent cx="5400000" cy="3375000"/>
            <wp:docPr id="4" name="Picture 4"/>
            <wp:cNvGraphicFramePr>
              <a:graphicFrameLocks noChangeAspect="1"/>
            </wp:cNvGraphicFramePr>
            <a:graphic>
              <a:graphicData uri="http://schemas.openxmlformats.org/drawingml/2006/picture">
                <pic:pic>
                  <pic:nvPicPr>
                    <pic:cNvPr id="0" name="004-a1.png"/>
                    <pic:cNvPicPr/>
                  </pic:nvPicPr>
                  <pic:blipFill>
                    <a:blip r:embed="rId12"/>
                    <a:stretch>
                      <a:fillRect/>
                    </a:stretch>
                  </pic:blipFill>
                  <pic:spPr>
                    <a:xfrm>
                      <a:off x="0" y="0"/>
                      <a:ext cx="5400000" cy="3375000"/>
                    </a:xfrm>
                    <a:prstGeom prst="rect"/>
                  </pic:spPr>
                </pic:pic>
              </a:graphicData>
            </a:graphic>
          </wp:inline>
        </w:drawing>
      </w:r>
    </w:p>
    <w:p>
      <w:pPr>
        <w:spacing w:before="0" w:after="240"/>
      </w:pPr>
      <w:r>
        <w:rPr>
          <w:color w:val="565B6E"/>
          <w:sz w:val="18"/>
        </w:rPr>
        <w:t>Figure 3.4 : Le tableau de bord d'administration, au premier jour</w:t>
      </w:r>
    </w:p>
    <w:p>
      <w:r>
        <w:rPr>
          <w:sz w:val="22"/>
        </w:rPr>
        <w:t>Tous les compteurs sont à zéro. Ce tableau de bord se remplira au fil du récit : c'est ici que l'administration verra arriver les comptes à vérifier.</w:t>
      </w:r>
    </w:p>
    <w:p>
      <w:pPr>
        <w:pStyle w:val="Heading3"/>
      </w:pPr>
      <w:r>
        <w:t>3.3.2  Un établissement s'inscrit</w:t>
      </w:r>
    </w:p>
    <w:p>
      <w:r>
        <w:rPr>
          <w:sz w:val="22"/>
        </w:rPr>
        <w:t>L'École Nationale d'Informatique est la première à rejoindre la plateforme. Son inscription ne demande que son identité et ses coordonnées : les filières qu'elle enseigne seront déclarées ensuite, depuis son espace.</w:t>
      </w:r>
    </w:p>
    <w:p>
      <w:r>
        <w:rPr>
          <w:i/>
          <w:sz w:val="22"/>
        </w:rPr>
        <w:t>Acteurs : ENI.</w:t>
      </w:r>
    </w:p>
    <w:p>
      <w:pPr>
        <w:keepNext/>
        <w:jc w:val="center"/>
      </w:pPr>
      <w:r>
        <w:drawing>
          <wp:inline xmlns:a="http://schemas.openxmlformats.org/drawingml/2006/main" xmlns:pic="http://schemas.openxmlformats.org/drawingml/2006/picture">
            <wp:extent cx="5400000" cy="3637500"/>
            <wp:docPr id="5" name="Picture 5"/>
            <wp:cNvGraphicFramePr>
              <a:graphicFrameLocks noChangeAspect="1"/>
            </wp:cNvGraphicFramePr>
            <a:graphic>
              <a:graphicData uri="http://schemas.openxmlformats.org/drawingml/2006/picture">
                <pic:pic>
                  <pic:nvPicPr>
                    <pic:cNvPr id="0" name="005-a2.png"/>
                    <pic:cNvPicPr/>
                  </pic:nvPicPr>
                  <pic:blipFill>
                    <a:blip r:embed="rId13"/>
                    <a:stretch>
                      <a:fillRect/>
                    </a:stretch>
                  </pic:blipFill>
                  <pic:spPr>
                    <a:xfrm>
                      <a:off x="0" y="0"/>
                      <a:ext cx="5400000" cy="3637500"/>
                    </a:xfrm>
                    <a:prstGeom prst="rect"/>
                  </pic:spPr>
                </pic:pic>
              </a:graphicData>
            </a:graphic>
          </wp:inline>
        </w:drawing>
      </w:r>
    </w:p>
    <w:p>
      <w:pPr>
        <w:spacing w:before="0" w:after="240"/>
      </w:pPr>
      <w:r>
        <w:rPr>
          <w:color w:val="565B6E"/>
          <w:sz w:val="18"/>
        </w:rPr>
        <w:t>Figure 3.5 : Le formulaire d'inscription d'un établissement</w:t>
      </w:r>
    </w:p>
    <w:p>
      <w:r>
        <w:rPr>
          <w:sz w:val="22"/>
        </w:rPr>
        <w:t>L'établissement se présente : nom officiel, sigle, adresse de contact et coordonnées. L'adresse électronique sert d'identifiant ; elle est enregistrée sous une forme normalisée, si bien que « Contact@ENI.mg » et « contact@eni.mg » désignent le même compte.</w:t>
      </w:r>
    </w:p>
    <w:p>
      <w:pPr>
        <w:keepNext/>
        <w:jc w:val="center"/>
      </w:pPr>
      <w:r>
        <w:drawing>
          <wp:inline xmlns:a="http://schemas.openxmlformats.org/drawingml/2006/main" xmlns:pic="http://schemas.openxmlformats.org/drawingml/2006/picture">
            <wp:extent cx="5400000" cy="3375000"/>
            <wp:docPr id="6" name="Picture 6"/>
            <wp:cNvGraphicFramePr>
              <a:graphicFrameLocks noChangeAspect="1"/>
            </wp:cNvGraphicFramePr>
            <a:graphic>
              <a:graphicData uri="http://schemas.openxmlformats.org/drawingml/2006/picture">
                <pic:pic>
                  <pic:nvPicPr>
                    <pic:cNvPr id="0" name="006-a2.png"/>
                    <pic:cNvPicPr/>
                  </pic:nvPicPr>
                  <pic:blipFill>
                    <a:blip r:embed="rId14"/>
                    <a:stretch>
                      <a:fillRect/>
                    </a:stretch>
                  </pic:blipFill>
                  <pic:spPr>
                    <a:xfrm>
                      <a:off x="0" y="0"/>
                      <a:ext cx="5400000" cy="3375000"/>
                    </a:xfrm>
                    <a:prstGeom prst="rect"/>
                  </pic:spPr>
                </pic:pic>
              </a:graphicData>
            </a:graphic>
          </wp:inline>
        </w:drawing>
      </w:r>
    </w:p>
    <w:p>
      <w:pPr>
        <w:spacing w:before="0" w:after="240"/>
      </w:pPr>
      <w:r>
        <w:rPr>
          <w:color w:val="565B6E"/>
          <w:sz w:val="18"/>
        </w:rPr>
        <w:t>Figure 3.6 : La confirmation de l'inscription</w:t>
      </w:r>
    </w:p>
    <w:p>
      <w:r>
        <w:rPr>
          <w:sz w:val="22"/>
        </w:rPr>
        <w:t>Le compte est créé immédiatement : l'établissement n'attend personne pour commencer à travailler. Il reste toutefois « non vérifié » tant que l'administration n'a pas confirmé son identité. L'application redirige ensuite vers l'écran de connexion.</w:t>
      </w:r>
    </w:p>
    <w:p>
      <w:pPr>
        <w:keepNext/>
        <w:jc w:val="center"/>
      </w:pPr>
      <w:r>
        <w:drawing>
          <wp:inline xmlns:a="http://schemas.openxmlformats.org/drawingml/2006/main" xmlns:pic="http://schemas.openxmlformats.org/drawingml/2006/picture">
            <wp:extent cx="5400000" cy="3375000"/>
            <wp:docPr id="7" name="Picture 7"/>
            <wp:cNvGraphicFramePr>
              <a:graphicFrameLocks noChangeAspect="1"/>
            </wp:cNvGraphicFramePr>
            <a:graphic>
              <a:graphicData uri="http://schemas.openxmlformats.org/drawingml/2006/picture">
                <pic:pic>
                  <pic:nvPicPr>
                    <pic:cNvPr id="0" name="007-a2.png"/>
                    <pic:cNvPicPr/>
                  </pic:nvPicPr>
                  <pic:blipFill>
                    <a:blip r:embed="rId15"/>
                    <a:stretch>
                      <a:fillRect/>
                    </a:stretch>
                  </pic:blipFill>
                  <pic:spPr>
                    <a:xfrm>
                      <a:off x="0" y="0"/>
                      <a:ext cx="5400000" cy="3375000"/>
                    </a:xfrm>
                    <a:prstGeom prst="rect"/>
                  </pic:spPr>
                </pic:pic>
              </a:graphicData>
            </a:graphic>
          </wp:inline>
        </w:drawing>
      </w:r>
    </w:p>
    <w:p>
      <w:pPr>
        <w:spacing w:before="0" w:after="240"/>
      </w:pPr>
      <w:r>
        <w:rPr>
          <w:color w:val="565B6E"/>
          <w:sz w:val="18"/>
        </w:rPr>
        <w:t>Figure 3.7 : La connexion d'un établissement</w:t>
      </w:r>
    </w:p>
    <w:p>
      <w:r>
        <w:rPr>
          <w:sz w:val="22"/>
        </w:rPr>
        <w:t>Chaque type de compte a son écran de connexion. L'adresse est comparée sans tenir compte de la casse, et les tentatives répétées sur une même adresse sont freinées, ce qui rend inopérante une attaque par essais successifs.</w:t>
      </w:r>
    </w:p>
    <w:p>
      <w:pPr>
        <w:keepNext/>
        <w:jc w:val="center"/>
      </w:pPr>
      <w:r>
        <w:drawing>
          <wp:inline xmlns:a="http://schemas.openxmlformats.org/drawingml/2006/main" xmlns:pic="http://schemas.openxmlformats.org/drawingml/2006/picture">
            <wp:extent cx="5400000" cy="3375000"/>
            <wp:docPr id="8" name="Picture 8"/>
            <wp:cNvGraphicFramePr>
              <a:graphicFrameLocks noChangeAspect="1"/>
            </wp:cNvGraphicFramePr>
            <a:graphic>
              <a:graphicData uri="http://schemas.openxmlformats.org/drawingml/2006/picture">
                <pic:pic>
                  <pic:nvPicPr>
                    <pic:cNvPr id="0" name="008-a2.png"/>
                    <pic:cNvPicPr/>
                  </pic:nvPicPr>
                  <pic:blipFill>
                    <a:blip r:embed="rId16"/>
                    <a:stretch>
                      <a:fillRect/>
                    </a:stretch>
                  </pic:blipFill>
                  <pic:spPr>
                    <a:xfrm>
                      <a:off x="0" y="0"/>
                      <a:ext cx="5400000" cy="3375000"/>
                    </a:xfrm>
                    <a:prstGeom prst="rect"/>
                  </pic:spPr>
                </pic:pic>
              </a:graphicData>
            </a:graphic>
          </wp:inline>
        </w:drawing>
      </w:r>
    </w:p>
    <w:p>
      <w:pPr>
        <w:spacing w:before="0" w:after="240"/>
      </w:pPr>
      <w:r>
        <w:rPr>
          <w:color w:val="565B6E"/>
          <w:sz w:val="18"/>
        </w:rPr>
        <w:t>Figure 3.8 : Le tableau de bord de l'établissement, encore vide</w:t>
      </w:r>
    </w:p>
    <w:p>
      <w:r>
        <w:rPr>
          <w:sz w:val="22"/>
        </w:rPr>
        <w:t>L'espace de l'établissement est opérationnel, mais il n'a encore ni étudiant, ni promotion, ni annonce.</w:t>
      </w:r>
    </w:p>
    <w:p>
      <w:pPr>
        <w:pStyle w:val="Heading3"/>
      </w:pPr>
      <w:r>
        <w:t>3.3.3  Un étudiant arrive avant son université</w:t>
      </w:r>
    </w:p>
    <w:p>
      <w:r>
        <w:rPr>
          <w:sz w:val="22"/>
        </w:rPr>
        <w:t>Toky Andriamahefa, étudiant à l'ISPM, découvre la plateforme avant son établissement. L'ISPM ne figure pas dans la liste des universités : il en saisit le nom à la main. La plateforme conserve ce nom et rattachera Toky dès que l'ISPM s'inscrira.</w:t>
      </w:r>
    </w:p>
    <w:p>
      <w:r>
        <w:rPr>
          <w:i/>
          <w:sz w:val="22"/>
        </w:rPr>
        <w:t>Acteurs : Toky Andriamahefa (étudiant).</w:t>
      </w:r>
    </w:p>
    <w:p>
      <w:pPr>
        <w:keepNext/>
        <w:jc w:val="center"/>
      </w:pPr>
      <w:r>
        <w:drawing>
          <wp:inline xmlns:a="http://schemas.openxmlformats.org/drawingml/2006/main" xmlns:pic="http://schemas.openxmlformats.org/drawingml/2006/picture">
            <wp:extent cx="5400000" cy="4447500"/>
            <wp:docPr id="9" name="Picture 9"/>
            <wp:cNvGraphicFramePr>
              <a:graphicFrameLocks noChangeAspect="1"/>
            </wp:cNvGraphicFramePr>
            <a:graphic>
              <a:graphicData uri="http://schemas.openxmlformats.org/drawingml/2006/picture">
                <pic:pic>
                  <pic:nvPicPr>
                    <pic:cNvPr id="0" name="009-a3.png"/>
                    <pic:cNvPicPr/>
                  </pic:nvPicPr>
                  <pic:blipFill>
                    <a:blip r:embed="rId17"/>
                    <a:stretch>
                      <a:fillRect/>
                    </a:stretch>
                  </pic:blipFill>
                  <pic:spPr>
                    <a:xfrm>
                      <a:off x="0" y="0"/>
                      <a:ext cx="5400000" cy="4447500"/>
                    </a:xfrm>
                    <a:prstGeom prst="rect"/>
                  </pic:spPr>
                </pic:pic>
              </a:graphicData>
            </a:graphic>
          </wp:inline>
        </w:drawing>
      </w:r>
    </w:p>
    <w:p>
      <w:pPr>
        <w:spacing w:before="0" w:after="240"/>
      </w:pPr>
      <w:r>
        <w:rPr>
          <w:color w:val="565B6E"/>
          <w:sz w:val="18"/>
        </w:rPr>
        <w:t>Figure 3.9 : Premier écran de l'inscription : une université absente de la liste</w:t>
      </w:r>
    </w:p>
    <w:p>
      <w:r>
        <w:rPr>
          <w:sz w:val="22"/>
        </w:rPr>
        <w:t>Toky coche « Mon université n'est pas dans la liste » et saisit le nom complet de l'ISPM. L'aide sous le champ annonce la suite : le rattachement se fera dès que l'université créera son compte.</w:t>
      </w:r>
    </w:p>
    <w:p>
      <w:pPr>
        <w:keepNext/>
        <w:jc w:val="center"/>
      </w:pPr>
      <w:r>
        <w:drawing>
          <wp:inline xmlns:a="http://schemas.openxmlformats.org/drawingml/2006/main" xmlns:pic="http://schemas.openxmlformats.org/drawingml/2006/picture">
            <wp:extent cx="5400000" cy="4055000"/>
            <wp:docPr id="10" name="Picture 10"/>
            <wp:cNvGraphicFramePr>
              <a:graphicFrameLocks noChangeAspect="1"/>
            </wp:cNvGraphicFramePr>
            <a:graphic>
              <a:graphicData uri="http://schemas.openxmlformats.org/drawingml/2006/picture">
                <pic:pic>
                  <pic:nvPicPr>
                    <pic:cNvPr id="0" name="010-a3.png"/>
                    <pic:cNvPicPr/>
                  </pic:nvPicPr>
                  <pic:blipFill>
                    <a:blip r:embed="rId18"/>
                    <a:stretch>
                      <a:fillRect/>
                    </a:stretch>
                  </pic:blipFill>
                  <pic:spPr>
                    <a:xfrm>
                      <a:off x="0" y="0"/>
                      <a:ext cx="5400000" cy="4055000"/>
                    </a:xfrm>
                    <a:prstGeom prst="rect"/>
                  </pic:spPr>
                </pic:pic>
              </a:graphicData>
            </a:graphic>
          </wp:inline>
        </w:drawing>
      </w:r>
    </w:p>
    <w:p>
      <w:pPr>
        <w:spacing w:before="0" w:after="240"/>
      </w:pPr>
      <w:r>
        <w:rPr>
          <w:color w:val="565B6E"/>
          <w:sz w:val="18"/>
        </w:rPr>
        <w:t>Figure 3.10 : Deuxième écran : les préférences de stage</w:t>
      </w:r>
    </w:p>
    <w:p>
      <w:r>
        <w:rPr>
          <w:sz w:val="22"/>
        </w:rPr>
        <w:t>La ville, la mobilité, le télétravail et la durée souhaitée ne sont pas de simples renseignements : ils entrent dans le calcul des recommandations. Ville et durée se choisissent dans des listes fermées, sans quoi « Tana » et « Antananarivo » seraient deux villes différentes.</w:t>
      </w:r>
    </w:p>
    <w:p>
      <w:pPr>
        <w:keepNext/>
        <w:jc w:val="center"/>
      </w:pPr>
      <w:r>
        <w:drawing>
          <wp:inline xmlns:a="http://schemas.openxmlformats.org/drawingml/2006/main" xmlns:pic="http://schemas.openxmlformats.org/drawingml/2006/picture">
            <wp:extent cx="5219606" cy="7739999"/>
            <wp:docPr id="11" name="Picture 11"/>
            <wp:cNvGraphicFramePr>
              <a:graphicFrameLocks noChangeAspect="1"/>
            </wp:cNvGraphicFramePr>
            <a:graphic>
              <a:graphicData uri="http://schemas.openxmlformats.org/drawingml/2006/picture">
                <pic:pic>
                  <pic:nvPicPr>
                    <pic:cNvPr id="0" name="011-a3.png"/>
                    <pic:cNvPicPr/>
                  </pic:nvPicPr>
                  <pic:blipFill>
                    <a:blip r:embed="rId19"/>
                    <a:stretch>
                      <a:fillRect/>
                    </a:stretch>
                  </pic:blipFill>
                  <pic:spPr>
                    <a:xfrm>
                      <a:off x="0" y="0"/>
                      <a:ext cx="5219606" cy="7739999"/>
                    </a:xfrm>
                    <a:prstGeom prst="rect"/>
                  </pic:spPr>
                </pic:pic>
              </a:graphicData>
            </a:graphic>
          </wp:inline>
        </w:drawing>
      </w:r>
    </w:p>
    <w:p>
      <w:pPr>
        <w:spacing w:before="0" w:after="240"/>
      </w:pPr>
      <w:r>
        <w:rPr>
          <w:color w:val="565B6E"/>
          <w:sz w:val="18"/>
        </w:rPr>
        <w:t>Figure 3.11 : Troisième écran : compétences, parcours et centres d'intérêt</w:t>
      </w:r>
    </w:p>
    <w:p>
      <w:r>
        <w:rPr>
          <w:sz w:val="22"/>
        </w:rPr>
        <w:t>Les compétences se choisissent dans le référentiel de la plateforme, chacune avec un niveau de maîtrise. Aucune n'est saisie en texte libre : c'est cette discipline qui rend calculable le rapprochement entre profils et offres. Le parcours et les centres d'intérêt complètent le profil.</w:t>
      </w:r>
    </w:p>
    <w:p>
      <w:pPr>
        <w:keepNext/>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012-a3.png"/>
                    <pic:cNvPicPr/>
                  </pic:nvPicPr>
                  <pic:blipFill>
                    <a:blip r:embed="rId20"/>
                    <a:stretch>
                      <a:fillRect/>
                    </a:stretch>
                  </pic:blipFill>
                  <pic:spPr>
                    <a:xfrm>
                      <a:off x="0" y="0"/>
                      <a:ext cx="5400000" cy="3375000"/>
                    </a:xfrm>
                    <a:prstGeom prst="rect"/>
                  </pic:spPr>
                </pic:pic>
              </a:graphicData>
            </a:graphic>
          </wp:inline>
        </w:drawing>
      </w:r>
    </w:p>
    <w:p>
      <w:pPr>
        <w:spacing w:before="0" w:after="240"/>
      </w:pPr>
      <w:r>
        <w:rPr>
          <w:color w:val="565B6E"/>
          <w:sz w:val="18"/>
        </w:rPr>
        <w:t>Figure 3.12 : La confirmation de l'inscription</w:t>
      </w:r>
    </w:p>
    <w:p>
      <w:r>
        <w:rPr>
          <w:sz w:val="22"/>
        </w:rPr>
        <w:t>Le message décrit précisément la situation de Toky : son université n'est pas encore inscrite, il y sera rattaché automatiquement dès qu'elle créera son compte.</w:t>
      </w:r>
    </w:p>
    <w:p>
      <w:pPr>
        <w:pStyle w:val="Heading3"/>
      </w:pPr>
      <w:r>
        <w:t>3.3.4  L'université arrive, l'étudiant la rejoint</w:t>
      </w:r>
    </w:p>
    <w:p>
      <w:r>
        <w:rPr>
          <w:sz w:val="22"/>
        </w:rPr>
        <w:t>L'ISPM s'inscrit à son tour. Au moment de l'inscription, la plateforme compare son nom officiel aux noms d'université saisis librement par les étudiants déjà inscrits (sans tenir compte des accents, de la casse ni de la ponctuation) et crée les demandes de rattachement correspondantes.</w:t>
      </w:r>
    </w:p>
    <w:p>
      <w:r>
        <w:rPr>
          <w:i/>
          <w:sz w:val="22"/>
        </w:rPr>
        <w:t>Acteurs : ISPM.</w:t>
      </w:r>
    </w:p>
    <w:p>
      <w:pPr>
        <w:keepNext/>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013-a4.png"/>
                    <pic:cNvPicPr/>
                  </pic:nvPicPr>
                  <pic:blipFill>
                    <a:blip r:embed="rId21"/>
                    <a:stretch>
                      <a:fillRect/>
                    </a:stretch>
                  </pic:blipFill>
                  <pic:spPr>
                    <a:xfrm>
                      <a:off x="0" y="0"/>
                      <a:ext cx="5400000" cy="3375000"/>
                    </a:xfrm>
                    <a:prstGeom prst="rect"/>
                  </pic:spPr>
                </pic:pic>
              </a:graphicData>
            </a:graphic>
          </wp:inline>
        </w:drawing>
      </w:r>
    </w:p>
    <w:p>
      <w:pPr>
        <w:spacing w:before="0" w:after="240"/>
      </w:pPr>
      <w:r>
        <w:rPr>
          <w:color w:val="565B6E"/>
          <w:sz w:val="18"/>
        </w:rPr>
        <w:t>Figure 3.13 : Le rattachement automatique, vu par l'université</w:t>
      </w:r>
    </w:p>
    <w:p>
      <w:r>
        <w:rPr>
          <w:sz w:val="22"/>
        </w:rPr>
        <w:t>Sitôt inscrit, l'ISPM trouve une demande de rattachement en attente : celle de Toky, inscrit avant lui. Le rapprochement n'a pas validé le rattachement, il l'a seulement proposé. Seul l'établissement sait qui sont réellement ses étudiants, et c'est lui qui tranchera.</w:t>
      </w:r>
    </w:p>
    <w:p>
      <w:pPr>
        <w:pStyle w:val="Heading3"/>
      </w:pPr>
      <w:r>
        <w:t>3.3.5  Les entreprises s'inscrivent</w:t>
      </w:r>
    </w:p>
    <w:p>
      <w:r>
        <w:rPr>
          <w:sz w:val="22"/>
        </w:rPr>
        <w:t>Trois entreprises rejoignent la plateforme : Ingenosya et Telma, qui publieront des offres, et Soa Digital, qui restera non vérifiée. La première tentative de Soa Digital échoue sur la politique de mot de passe.</w:t>
      </w:r>
    </w:p>
    <w:p>
      <w:r>
        <w:rPr>
          <w:i/>
          <w:sz w:val="22"/>
        </w:rPr>
        <w:t>Acteurs : Ingenosya, Telma, Soa Digital.</w:t>
      </w:r>
    </w:p>
    <w:p>
      <w:pPr>
        <w:keepNext/>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014-a5.png"/>
                    <pic:cNvPicPr/>
                  </pic:nvPicPr>
                  <pic:blipFill>
                    <a:blip r:embed="rId22"/>
                    <a:stretch>
                      <a:fillRect/>
                    </a:stretch>
                  </pic:blipFill>
                  <pic:spPr>
                    <a:xfrm>
                      <a:off x="0" y="0"/>
                      <a:ext cx="5400000" cy="3375000"/>
                    </a:xfrm>
                    <a:prstGeom prst="rect"/>
                  </pic:spPr>
                </pic:pic>
              </a:graphicData>
            </a:graphic>
          </wp:inline>
        </w:drawing>
      </w:r>
    </w:p>
    <w:p>
      <w:pPr>
        <w:spacing w:before="0" w:after="240"/>
      </w:pPr>
      <w:r>
        <w:rPr>
          <w:color w:val="565B6E"/>
          <w:sz w:val="18"/>
        </w:rPr>
        <w:t>Figure 3.14 : Un mot de passe refusé par le serveur</w:t>
      </w:r>
    </w:p>
    <w:p>
      <w:r>
        <w:rPr>
          <w:sz w:val="22"/>
        </w:rPr>
        <w:t>« soadigital2025 » est refusé, et le message dit exactement ce qui manque (une majuscule) plutôt qu'un refus générique. La règle complète exige au moins huit caractères, dont une minuscule, une majuscule et un chiffre. Elle est appliquée par le serveur, le seul contrôle qu'on ne puisse pas contourner en appelant directement l'application.</w:t>
      </w:r>
    </w:p>
    <w:p>
      <w:pPr>
        <w:keepNext/>
        <w:jc w:val="center"/>
      </w:pPr>
      <w:r>
        <w:drawing>
          <wp:inline xmlns:a="http://schemas.openxmlformats.org/drawingml/2006/main" xmlns:pic="http://schemas.openxmlformats.org/drawingml/2006/picture">
            <wp:extent cx="5400000" cy="4447500"/>
            <wp:docPr id="15" name="Picture 15"/>
            <wp:cNvGraphicFramePr>
              <a:graphicFrameLocks noChangeAspect="1"/>
            </wp:cNvGraphicFramePr>
            <a:graphic>
              <a:graphicData uri="http://schemas.openxmlformats.org/drawingml/2006/picture">
                <pic:pic>
                  <pic:nvPicPr>
                    <pic:cNvPr id="0" name="015-a5.png"/>
                    <pic:cNvPicPr/>
                  </pic:nvPicPr>
                  <pic:blipFill>
                    <a:blip r:embed="rId23"/>
                    <a:stretch>
                      <a:fillRect/>
                    </a:stretch>
                  </pic:blipFill>
                  <pic:spPr>
                    <a:xfrm>
                      <a:off x="0" y="0"/>
                      <a:ext cx="5400000" cy="4447500"/>
                    </a:xfrm>
                    <a:prstGeom prst="rect"/>
                  </pic:spPr>
                </pic:pic>
              </a:graphicData>
            </a:graphic>
          </wp:inline>
        </w:drawing>
      </w:r>
    </w:p>
    <w:p>
      <w:pPr>
        <w:spacing w:before="0" w:after="240"/>
      </w:pPr>
      <w:r>
        <w:rPr>
          <w:color w:val="565B6E"/>
          <w:sz w:val="18"/>
        </w:rPr>
        <w:t>Figure 3.15 : Le formulaire d'inscription d'une entreprise</w:t>
      </w:r>
    </w:p>
    <w:p>
      <w:r>
        <w:rPr>
          <w:sz w:val="22"/>
        </w:rPr>
        <w:t>L'entreprise déclare son identité juridique (forme, numéro d'identification fiscale, numéro statistique) ainsi que son secteur et sa présentation. Ce sont ces informations que l'administration contrôlera avant d'accorder le badge de vérification.</w:t>
      </w:r>
    </w:p>
    <w:p>
      <w:pPr>
        <w:pStyle w:val="Heading3"/>
      </w:pPr>
      <w:r>
        <w:t>3.3.6  L'administration vérifie les comptes</w:t>
      </w:r>
    </w:p>
    <w:p>
      <w:r>
        <w:rPr>
          <w:sz w:val="22"/>
        </w:rPr>
        <w:t>L'administrateur retrouve sur son tableau de bord les comptes inscrits. Il contrôle leur identité, accorde le badge de vérification à ceux qui sont confirmés, laisse Soa Digital en attente, puis crée le compte d'une seconde administratrice.</w:t>
      </w:r>
    </w:p>
    <w:p>
      <w:r>
        <w:rPr>
          <w:i/>
          <w:sz w:val="22"/>
        </w:rPr>
        <w:t>Acteurs : Administrateur d'installation, Nirina Rasoamanana.</w:t>
      </w:r>
    </w:p>
    <w:p>
      <w:pPr>
        <w:keepNext/>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016-a6.png"/>
                    <pic:cNvPicPr/>
                  </pic:nvPicPr>
                  <pic:blipFill>
                    <a:blip r:embed="rId24"/>
                    <a:stretch>
                      <a:fillRect/>
                    </a:stretch>
                  </pic:blipFill>
                  <pic:spPr>
                    <a:xfrm>
                      <a:off x="0" y="0"/>
                      <a:ext cx="5400000" cy="3375000"/>
                    </a:xfrm>
                    <a:prstGeom prst="rect"/>
                  </pic:spPr>
                </pic:pic>
              </a:graphicData>
            </a:graphic>
          </wp:inline>
        </w:drawing>
      </w:r>
    </w:p>
    <w:p>
      <w:pPr>
        <w:spacing w:before="0" w:after="240"/>
      </w:pPr>
      <w:r>
        <w:rPr>
          <w:color w:val="565B6E"/>
          <w:sz w:val="18"/>
        </w:rPr>
        <w:t>Figure 3.16 : Les comptes en attente de vérification</w:t>
      </w:r>
    </w:p>
    <w:p>
      <w:r>
        <w:rPr>
          <w:sz w:val="22"/>
        </w:rPr>
        <w:t>Les statistiques reflètent désormais l'activité : trois entreprises, deux universités et un étudiant inscrits, les comptes d'organisation étant tous en attente de vérification.</w:t>
      </w:r>
    </w:p>
    <w:p>
      <w:pPr>
        <w:keepNext/>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017-a6.png"/>
                    <pic:cNvPicPr/>
                  </pic:nvPicPr>
                  <pic:blipFill>
                    <a:blip r:embed="rId25"/>
                    <a:stretch>
                      <a:fillRect/>
                    </a:stretch>
                  </pic:blipFill>
                  <pic:spPr>
                    <a:xfrm>
                      <a:off x="0" y="0"/>
                      <a:ext cx="5400000" cy="3375000"/>
                    </a:xfrm>
                    <a:prstGeom prst="rect"/>
                  </pic:spPr>
                </pic:pic>
              </a:graphicData>
            </a:graphic>
          </wp:inline>
        </w:drawing>
      </w:r>
    </w:p>
    <w:p>
      <w:pPr>
        <w:spacing w:before="0" w:after="240"/>
      </w:pPr>
      <w:r>
        <w:rPr>
          <w:color w:val="565B6E"/>
          <w:sz w:val="18"/>
        </w:rPr>
        <w:t>Figure 3.17 : La liste des entreprises à vérifier</w:t>
      </w:r>
    </w:p>
    <w:p>
      <w:r>
        <w:rPr>
          <w:sz w:val="22"/>
        </w:rPr>
        <w:t>Chaque ligne indique le secteur, l'adresse de contact, la date d'inscription et l'état de vérification. « Valider » accorde le badge ; « Détails » ouvre la fiche complète.</w:t>
      </w:r>
    </w:p>
    <w:p>
      <w:pPr>
        <w:keepNext/>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018-a6.png"/>
                    <pic:cNvPicPr/>
                  </pic:nvPicPr>
                  <pic:blipFill>
                    <a:blip r:embed="rId26"/>
                    <a:stretch>
                      <a:fillRect/>
                    </a:stretch>
                  </pic:blipFill>
                  <pic:spPr>
                    <a:xfrm>
                      <a:off x="0" y="0"/>
                      <a:ext cx="5400000" cy="3375000"/>
                    </a:xfrm>
                    <a:prstGeom prst="rect"/>
                  </pic:spPr>
                </pic:pic>
              </a:graphicData>
            </a:graphic>
          </wp:inline>
        </w:drawing>
      </w:r>
    </w:p>
    <w:p>
      <w:pPr>
        <w:spacing w:before="0" w:after="240"/>
      </w:pPr>
      <w:r>
        <w:rPr>
          <w:color w:val="565B6E"/>
          <w:sz w:val="18"/>
        </w:rPr>
        <w:t>Figure 3.18 : La fiche détaillée d'une entreprise</w:t>
      </w:r>
    </w:p>
    <w:p>
      <w:r>
        <w:rPr>
          <w:sz w:val="22"/>
        </w:rPr>
        <w:t>Avant de se prononcer, l'administrateur consulte l'ensemble des informations déclarées : identifiants fiscal et statistique, siège, téléphones, site. La vérification peut se faire depuis cette fiche.</w:t>
      </w:r>
    </w:p>
    <w:p>
      <w:pPr>
        <w:keepNext/>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019-a6.png"/>
                    <pic:cNvPicPr/>
                  </pic:nvPicPr>
                  <pic:blipFill>
                    <a:blip r:embed="rId27"/>
                    <a:stretch>
                      <a:fillRect/>
                    </a:stretch>
                  </pic:blipFill>
                  <pic:spPr>
                    <a:xfrm>
                      <a:off x="0" y="0"/>
                      <a:ext cx="5400000" cy="3375000"/>
                    </a:xfrm>
                    <a:prstGeom prst="rect"/>
                  </pic:spPr>
                </pic:pic>
              </a:graphicData>
            </a:graphic>
          </wp:inline>
        </w:drawing>
      </w:r>
    </w:p>
    <w:p>
      <w:pPr>
        <w:spacing w:before="0" w:after="240"/>
      </w:pPr>
      <w:r>
        <w:rPr>
          <w:color w:val="565B6E"/>
          <w:sz w:val="18"/>
        </w:rPr>
        <w:t>Figure 3.19 : Deux entreprises vérifiées, une en attente</w:t>
      </w:r>
    </w:p>
    <w:p>
      <w:r>
        <w:rPr>
          <w:sz w:val="22"/>
        </w:rPr>
        <w:t>Ingenosya et Telma portent désormais le badge ; Soa Digital reste en attente. La vérification n'interdit aucune fonction : c'est un signal de confiance pour les étudiants et les établissements, pas un verrou. Elle se retire aussi simplement qu'elle s'accorde.</w:t>
      </w:r>
    </w:p>
    <w:p>
      <w:pPr>
        <w:keepNext/>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020-a6.png"/>
                    <pic:cNvPicPr/>
                  </pic:nvPicPr>
                  <pic:blipFill>
                    <a:blip r:embed="rId28"/>
                    <a:stretch>
                      <a:fillRect/>
                    </a:stretch>
                  </pic:blipFill>
                  <pic:spPr>
                    <a:xfrm>
                      <a:off x="0" y="0"/>
                      <a:ext cx="5400000" cy="3375000"/>
                    </a:xfrm>
                    <a:prstGeom prst="rect"/>
                  </pic:spPr>
                </pic:pic>
              </a:graphicData>
            </a:graphic>
          </wp:inline>
        </w:drawing>
      </w:r>
    </w:p>
    <w:p>
      <w:pPr>
        <w:spacing w:before="0" w:after="240"/>
      </w:pPr>
      <w:r>
        <w:rPr>
          <w:color w:val="565B6E"/>
          <w:sz w:val="18"/>
        </w:rPr>
        <w:t>Figure 3.20 : Les deux établissements vérifiés</w:t>
      </w:r>
    </w:p>
    <w:p>
      <w:r>
        <w:rPr>
          <w:sz w:val="22"/>
        </w:rPr>
        <w:t>L'ENI et l'ISPM sont vérifiés. Chaque vérification dépose un message dans la messagerie interne du compte concerné, et un courriel part quand l'envoi est configuré.</w:t>
      </w:r>
    </w:p>
    <w:p>
      <w:pPr>
        <w:keepNext/>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021-a6.png"/>
                    <pic:cNvPicPr/>
                  </pic:nvPicPr>
                  <pic:blipFill>
                    <a:blip r:embed="rId29"/>
                    <a:stretch>
                      <a:fillRect/>
                    </a:stretch>
                  </pic:blipFill>
                  <pic:spPr>
                    <a:xfrm>
                      <a:off x="0" y="0"/>
                      <a:ext cx="5400000" cy="3375000"/>
                    </a:xfrm>
                    <a:prstGeom prst="rect"/>
                  </pic:spPr>
                </pic:pic>
              </a:graphicData>
            </a:graphic>
          </wp:inline>
        </w:drawing>
      </w:r>
    </w:p>
    <w:p>
      <w:pPr>
        <w:spacing w:before="0" w:after="240"/>
      </w:pPr>
      <w:r>
        <w:rPr>
          <w:color w:val="565B6E"/>
          <w:sz w:val="18"/>
        </w:rPr>
        <w:t>Figure 3.21 : La création d'un compte administrateur</w:t>
      </w:r>
    </w:p>
    <w:p>
      <w:r>
        <w:rPr>
          <w:sz w:val="22"/>
        </w:rPr>
        <w:t>Un administrateur ne s'inscrit pas : il est créé par un administrateur existant. Aucun formulaire public ne permet d'obtenir ce rôle.</w:t>
      </w:r>
    </w:p>
    <w:p>
      <w:pPr>
        <w:keepNext/>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022-a6.png"/>
                    <pic:cNvPicPr/>
                  </pic:nvPicPr>
                  <pic:blipFill>
                    <a:blip r:embed="rId30"/>
                    <a:stretch>
                      <a:fillRect/>
                    </a:stretch>
                  </pic:blipFill>
                  <pic:spPr>
                    <a:xfrm>
                      <a:off x="0" y="0"/>
                      <a:ext cx="5400000" cy="3375000"/>
                    </a:xfrm>
                    <a:prstGeom prst="rect"/>
                  </pic:spPr>
                </pic:pic>
              </a:graphicData>
            </a:graphic>
          </wp:inline>
        </w:drawing>
      </w:r>
    </w:p>
    <w:p>
      <w:pPr>
        <w:spacing w:before="0" w:after="240"/>
      </w:pPr>
      <w:r>
        <w:rPr>
          <w:color w:val="565B6E"/>
          <w:sz w:val="18"/>
        </w:rPr>
        <w:t>Figure 3.22 : Le second compte administrateur créé</w:t>
      </w:r>
    </w:p>
    <w:p>
      <w:r>
        <w:rPr>
          <w:sz w:val="22"/>
        </w:rPr>
        <w:t>Nirina Rasoamanana dispose désormais des mêmes droits que l'administrateur d'installation.</w:t>
      </w:r>
    </w:p>
    <w:p>
      <w:pPr>
        <w:pStyle w:val="Heading3"/>
      </w:pPr>
      <w:r>
        <w:t>3.3.7  L'université s'organise</w:t>
      </w:r>
    </w:p>
    <w:p>
      <w:r>
        <w:rPr>
          <w:sz w:val="22"/>
        </w:rPr>
        <w:t>Vérifiée, l'ENI prépare l'arrivée de ses étudiants. Elle déclare d'abord les filières qu'elle enseigne, ce qui encadrera les inscriptions futures. Elle importe ensuite une promotion entière depuis un fichier, puis crée individuellement le compte d'une étudiante qui n'y figurait pas.</w:t>
      </w:r>
    </w:p>
    <w:p>
      <w:r>
        <w:rPr>
          <w:i/>
          <w:sz w:val="22"/>
        </w:rPr>
        <w:t>Acteurs : ENI.</w:t>
      </w:r>
    </w:p>
    <w:p>
      <w:pPr>
        <w:keepNext/>
        <w:jc w:val="center"/>
      </w:pPr>
      <w:r>
        <w:drawing>
          <wp:inline xmlns:a="http://schemas.openxmlformats.org/drawingml/2006/main" xmlns:pic="http://schemas.openxmlformats.org/drawingml/2006/picture">
            <wp:extent cx="5400000" cy="4545000"/>
            <wp:docPr id="23" name="Picture 23"/>
            <wp:cNvGraphicFramePr>
              <a:graphicFrameLocks noChangeAspect="1"/>
            </wp:cNvGraphicFramePr>
            <a:graphic>
              <a:graphicData uri="http://schemas.openxmlformats.org/drawingml/2006/picture">
                <pic:pic>
                  <pic:nvPicPr>
                    <pic:cNvPr id="0" name="023-a7.png"/>
                    <pic:cNvPicPr/>
                  </pic:nvPicPr>
                  <pic:blipFill>
                    <a:blip r:embed="rId31"/>
                    <a:stretch>
                      <a:fillRect/>
                    </a:stretch>
                  </pic:blipFill>
                  <pic:spPr>
                    <a:xfrm>
                      <a:off x="0" y="0"/>
                      <a:ext cx="5400000" cy="4545000"/>
                    </a:xfrm>
                    <a:prstGeom prst="rect"/>
                  </pic:spPr>
                </pic:pic>
              </a:graphicData>
            </a:graphic>
          </wp:inline>
        </w:drawing>
      </w:r>
    </w:p>
    <w:p>
      <w:pPr>
        <w:spacing w:before="0" w:after="240"/>
      </w:pPr>
      <w:r>
        <w:rPr>
          <w:color w:val="565B6E"/>
          <w:sz w:val="18"/>
        </w:rPr>
        <w:t>Figure 3.23 : La déclaration des filières enseignées</w:t>
      </w:r>
    </w:p>
    <w:p>
      <w:r>
        <w:rPr>
          <w:sz w:val="22"/>
        </w:rPr>
        <w:t>L'ENI coche les deux filières qu'elle enseigne. L'encadré explique la conséquence : un étudiant qui choisira l'ENI à l'inscription ne pourra déclarer que ces filières. Ne rien cocher laisse le choix libre : le réglage prudent tant que la liste n'est pas sûre, car mieux vaut ne rien contraindre que bloquer un étudiant légitime.</w:t>
      </w:r>
    </w:p>
    <w:p>
      <w:pPr>
        <w:keepNext/>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024-a7.png"/>
                    <pic:cNvPicPr/>
                  </pic:nvPicPr>
                  <pic:blipFill>
                    <a:blip r:embed="rId32"/>
                    <a:stretch>
                      <a:fillRect/>
                    </a:stretch>
                  </pic:blipFill>
                  <pic:spPr>
                    <a:xfrm>
                      <a:off x="0" y="0"/>
                      <a:ext cx="5400000" cy="3375000"/>
                    </a:xfrm>
                    <a:prstGeom prst="rect"/>
                  </pic:spPr>
                </pic:pic>
              </a:graphicData>
            </a:graphic>
          </wp:inline>
        </w:drawing>
      </w:r>
    </w:p>
    <w:p>
      <w:pPr>
        <w:spacing w:before="0" w:after="240"/>
      </w:pPr>
      <w:r>
        <w:rPr>
          <w:color w:val="565B6E"/>
          <w:sz w:val="18"/>
        </w:rPr>
        <w:t>Figure 3.24 : L'import d'une promotion : le choix du fichier</w:t>
      </w:r>
    </w:p>
    <w:p>
      <w:r>
        <w:rPr>
          <w:sz w:val="22"/>
        </w:rPr>
        <w:t>L'établissement fournit un fichier CSV ou Excel : nom, prénom et adresse sont obligatoires ; matricule, niveau, filière et spécialisation sont facultatifs. Le bouton « Télécharger un modèle » donne un fichier aux bons en-têtes, ce qui évite la plupart des erreurs de format.</w:t>
      </w:r>
    </w:p>
    <w:p>
      <w:pPr>
        <w:keepNext/>
        <w:jc w:val="center"/>
      </w:pPr>
      <w:r>
        <w:drawing>
          <wp:inline xmlns:a="http://schemas.openxmlformats.org/drawingml/2006/main" xmlns:pic="http://schemas.openxmlformats.org/drawingml/2006/picture">
            <wp:extent cx="5400000" cy="3657500"/>
            <wp:docPr id="25" name="Picture 25"/>
            <wp:cNvGraphicFramePr>
              <a:graphicFrameLocks noChangeAspect="1"/>
            </wp:cNvGraphicFramePr>
            <a:graphic>
              <a:graphicData uri="http://schemas.openxmlformats.org/drawingml/2006/picture">
                <pic:pic>
                  <pic:nvPicPr>
                    <pic:cNvPr id="0" name="025-a7.png"/>
                    <pic:cNvPicPr/>
                  </pic:nvPicPr>
                  <pic:blipFill>
                    <a:blip r:embed="rId33"/>
                    <a:stretch>
                      <a:fillRect/>
                    </a:stretch>
                  </pic:blipFill>
                  <pic:spPr>
                    <a:xfrm>
                      <a:off x="0" y="0"/>
                      <a:ext cx="5400000" cy="3657500"/>
                    </a:xfrm>
                    <a:prstGeom prst="rect"/>
                  </pic:spPr>
                </pic:pic>
              </a:graphicData>
            </a:graphic>
          </wp:inline>
        </w:drawing>
      </w:r>
    </w:p>
    <w:p>
      <w:pPr>
        <w:spacing w:before="0" w:after="240"/>
      </w:pPr>
      <w:r>
        <w:rPr>
          <w:color w:val="565B6E"/>
          <w:sz w:val="18"/>
        </w:rPr>
        <w:t>Figure 3.25 : La prévisualisation de l'import</w:t>
      </w:r>
    </w:p>
    <w:p>
      <w:r>
        <w:rPr>
          <w:sz w:val="22"/>
        </w:rPr>
        <w:t>Rien n'est encore écrit. Le fichier a été analysé en entier : l'établissement voit combien de comptes seront créés, et quelles lignes sont écartées avec leur motif (ici une adresse électronique invalide et un doublon). Il nomme la promotion, puis confirme. Un import qui échouerait à la quarantième ligne sans cette étape laisserait la base à moitié remplie.</w:t>
      </w:r>
    </w:p>
    <w:p>
      <w:pPr>
        <w:keepNext/>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026-a7.png"/>
                    <pic:cNvPicPr/>
                  </pic:nvPicPr>
                  <pic:blipFill>
                    <a:blip r:embed="rId34"/>
                    <a:stretch>
                      <a:fillRect/>
                    </a:stretch>
                  </pic:blipFill>
                  <pic:spPr>
                    <a:xfrm>
                      <a:off x="0" y="0"/>
                      <a:ext cx="5400000" cy="3375000"/>
                    </a:xfrm>
                    <a:prstGeom prst="rect"/>
                  </pic:spPr>
                </pic:pic>
              </a:graphicData>
            </a:graphic>
          </wp:inline>
        </w:drawing>
      </w:r>
    </w:p>
    <w:p>
      <w:pPr>
        <w:spacing w:before="0" w:after="240"/>
      </w:pPr>
      <w:r>
        <w:rPr>
          <w:color w:val="565B6E"/>
          <w:sz w:val="18"/>
        </w:rPr>
        <w:t>Figure 3.26 : Le résultat de l'import : les liens d'activation</w:t>
      </w:r>
    </w:p>
    <w:p>
      <w:r>
        <w:rPr>
          <w:sz w:val="22"/>
        </w:rPr>
        <w:t>Cinq comptes ont été créés, rattachés d'office à la promotion « L3 Informatique 2025-2026 ». Aucun mot de passe n'a été choisi par l'établissement : chaque étudiant reçoit un lien d'activation à usage unique, valable vingt-quatre heures. Quand l'envoi de courriel est configuré, ces liens partent automatiquement ; sinon, comme ici, ils sont remis à l'établissement qui les transmet.</w:t>
      </w:r>
    </w:p>
    <w:p>
      <w:pPr>
        <w:keepNext/>
        <w:jc w:val="center"/>
      </w:pPr>
      <w:r>
        <w:drawing>
          <wp:inline xmlns:a="http://schemas.openxmlformats.org/drawingml/2006/main" xmlns:pic="http://schemas.openxmlformats.org/drawingml/2006/picture">
            <wp:extent cx="5400000" cy="3375000"/>
            <wp:docPr id="27" name="Picture 27"/>
            <wp:cNvGraphicFramePr>
              <a:graphicFrameLocks noChangeAspect="1"/>
            </wp:cNvGraphicFramePr>
            <a:graphic>
              <a:graphicData uri="http://schemas.openxmlformats.org/drawingml/2006/picture">
                <pic:pic>
                  <pic:nvPicPr>
                    <pic:cNvPr id="0" name="027-a7.png"/>
                    <pic:cNvPicPr/>
                  </pic:nvPicPr>
                  <pic:blipFill>
                    <a:blip r:embed="rId35"/>
                    <a:stretch>
                      <a:fillRect/>
                    </a:stretch>
                  </pic:blipFill>
                  <pic:spPr>
                    <a:xfrm>
                      <a:off x="0" y="0"/>
                      <a:ext cx="5400000" cy="3375000"/>
                    </a:xfrm>
                    <a:prstGeom prst="rect"/>
                  </pic:spPr>
                </pic:pic>
              </a:graphicData>
            </a:graphic>
          </wp:inline>
        </w:drawing>
      </w:r>
    </w:p>
    <w:p>
      <w:pPr>
        <w:spacing w:before="0" w:after="240"/>
      </w:pPr>
      <w:r>
        <w:rPr>
          <w:color w:val="565B6E"/>
          <w:sz w:val="18"/>
        </w:rPr>
        <w:t>Figure 3.27 : L'ajout individuel d'un étudiant</w:t>
      </w:r>
    </w:p>
    <w:p>
      <w:r>
        <w:rPr>
          <w:sz w:val="22"/>
        </w:rPr>
        <w:t>Pour un cas isolé, un formulaire suffit. Il ne comporte aucun champ de mot de passe : c'est la différence essentielle avec une inscription publique.</w:t>
      </w:r>
    </w:p>
    <w:p>
      <w:pPr>
        <w:keepNext/>
        <w:jc w:val="center"/>
      </w:pPr>
      <w:r>
        <w:drawing>
          <wp:inline xmlns:a="http://schemas.openxmlformats.org/drawingml/2006/main" xmlns:pic="http://schemas.openxmlformats.org/drawingml/2006/picture">
            <wp:extent cx="5400000" cy="5265000"/>
            <wp:docPr id="28" name="Picture 28"/>
            <wp:cNvGraphicFramePr>
              <a:graphicFrameLocks noChangeAspect="1"/>
            </wp:cNvGraphicFramePr>
            <a:graphic>
              <a:graphicData uri="http://schemas.openxmlformats.org/drawingml/2006/picture">
                <pic:pic>
                  <pic:nvPicPr>
                    <pic:cNvPr id="0" name="028-a7.png"/>
                    <pic:cNvPicPr/>
                  </pic:nvPicPr>
                  <pic:blipFill>
                    <a:blip r:embed="rId36"/>
                    <a:stretch>
                      <a:fillRect/>
                    </a:stretch>
                  </pic:blipFill>
                  <pic:spPr>
                    <a:xfrm>
                      <a:off x="0" y="0"/>
                      <a:ext cx="5400000" cy="5265000"/>
                    </a:xfrm>
                    <a:prstGeom prst="rect"/>
                  </pic:spPr>
                </pic:pic>
              </a:graphicData>
            </a:graphic>
          </wp:inline>
        </w:drawing>
      </w:r>
    </w:p>
    <w:p>
      <w:pPr>
        <w:spacing w:before="0" w:after="240"/>
      </w:pPr>
      <w:r>
        <w:rPr>
          <w:color w:val="565B6E"/>
          <w:sz w:val="18"/>
        </w:rPr>
        <w:t>Figure 3.28 : Le lien d'activation remis à l'établissement</w:t>
      </w:r>
    </w:p>
    <w:p>
      <w:r>
        <w:rPr>
          <w:sz w:val="22"/>
        </w:rPr>
        <w:t>Le compte de Mialy existe, mais il est inactif et sans mot de passe. Le lien d'activation ne permet qu'une chose : poser ce premier mot de passe. Il ne donne accès à aucune donnée du profil, et devient inutilisable une fois servi.</w:t>
      </w:r>
    </w:p>
    <w:p>
      <w:pPr>
        <w:pStyle w:val="Heading3"/>
      </w:pPr>
      <w:r>
        <w:t>3.3.8  Les étudiants entrent sur la plateforme</w:t>
      </w:r>
    </w:p>
    <w:p>
      <w:r>
        <w:rPr>
          <w:sz w:val="22"/>
        </w:rPr>
        <w:t>Hasina Rakotoarisoa s'inscrit elle-même et choisit l'ENI. Rivo Rajaonary en fait autant, sans être étudiant de l'établissement. Mialy, dont l'ENI a créé le compte, l'active par son lien ; Fanilo, de la promotion importée, également.</w:t>
      </w:r>
    </w:p>
    <w:p>
      <w:r>
        <w:rPr>
          <w:i/>
          <w:sz w:val="22"/>
        </w:rPr>
        <w:t>Acteurs : Hasina Rakotoarisoa, Rivo Rajaonary, Mialy Randrianarisoa, Fanilo Rabemanantsoa.</w:t>
      </w:r>
    </w:p>
    <w:p>
      <w:pPr>
        <w:keepNext/>
        <w:jc w:val="center"/>
      </w:pPr>
      <w:r>
        <w:drawing>
          <wp:inline xmlns:a="http://schemas.openxmlformats.org/drawingml/2006/main" xmlns:pic="http://schemas.openxmlformats.org/drawingml/2006/picture">
            <wp:extent cx="5400000" cy="4535000"/>
            <wp:docPr id="29" name="Picture 29"/>
            <wp:cNvGraphicFramePr>
              <a:graphicFrameLocks noChangeAspect="1"/>
            </wp:cNvGraphicFramePr>
            <a:graphic>
              <a:graphicData uri="http://schemas.openxmlformats.org/drawingml/2006/picture">
                <pic:pic>
                  <pic:nvPicPr>
                    <pic:cNvPr id="0" name="029-a8.png"/>
                    <pic:cNvPicPr/>
                  </pic:nvPicPr>
                  <pic:blipFill>
                    <a:blip r:embed="rId37"/>
                    <a:stretch>
                      <a:fillRect/>
                    </a:stretch>
                  </pic:blipFill>
                  <pic:spPr>
                    <a:xfrm>
                      <a:off x="0" y="0"/>
                      <a:ext cx="5400000" cy="4535000"/>
                    </a:xfrm>
                    <a:prstGeom prst="rect"/>
                  </pic:spPr>
                </pic:pic>
              </a:graphicData>
            </a:graphic>
          </wp:inline>
        </w:drawing>
      </w:r>
    </w:p>
    <w:p>
      <w:pPr>
        <w:spacing w:before="0" w:after="240"/>
      </w:pPr>
      <w:r>
        <w:rPr>
          <w:color w:val="565B6E"/>
          <w:sz w:val="18"/>
        </w:rPr>
        <w:t>Figure 3.29 : La liste des filières restreinte par l'établissement</w:t>
      </w:r>
    </w:p>
    <w:p>
      <w:r>
        <w:rPr>
          <w:sz w:val="22"/>
        </w:rPr>
        <w:t>Hasina a choisi l'ENI. La liste des filières ne propose plus que les deux que l'établissement a déclarées, au lieu des onze de la plateforme. Un profil incohérent, une filière que l'ENI n'enseigne pas, devient impossible, et avec lui des recommandations calculées sur une spécialité fictive. La règle est aussi vérifiée par le serveur.</w:t>
      </w:r>
    </w:p>
    <w:p>
      <w:pPr>
        <w:keepNext/>
        <w:jc w:val="center"/>
      </w:pPr>
      <w:r>
        <w:drawing>
          <wp:inline xmlns:a="http://schemas.openxmlformats.org/drawingml/2006/main" xmlns:pic="http://schemas.openxmlformats.org/drawingml/2006/picture">
            <wp:extent cx="5400000" cy="3375000"/>
            <wp:docPr id="30" name="Picture 30"/>
            <wp:cNvGraphicFramePr>
              <a:graphicFrameLocks noChangeAspect="1"/>
            </wp:cNvGraphicFramePr>
            <a:graphic>
              <a:graphicData uri="http://schemas.openxmlformats.org/drawingml/2006/picture">
                <pic:pic>
                  <pic:nvPicPr>
                    <pic:cNvPr id="0" name="030-a8.png"/>
                    <pic:cNvPicPr/>
                  </pic:nvPicPr>
                  <pic:blipFill>
                    <a:blip r:embed="rId38"/>
                    <a:stretch>
                      <a:fillRect/>
                    </a:stretch>
                  </pic:blipFill>
                  <pic:spPr>
                    <a:xfrm>
                      <a:off x="0" y="0"/>
                      <a:ext cx="5400000" cy="3375000"/>
                    </a:xfrm>
                    <a:prstGeom prst="rect"/>
                  </pic:spPr>
                </pic:pic>
              </a:graphicData>
            </a:graphic>
          </wp:inline>
        </w:drawing>
      </w:r>
    </w:p>
    <w:p>
      <w:pPr>
        <w:spacing w:before="0" w:after="240"/>
      </w:pPr>
      <w:r>
        <w:rPr>
          <w:color w:val="565B6E"/>
          <w:sz w:val="18"/>
        </w:rPr>
        <w:t>Figure 3.30 : La confirmation de l'inscription</w:t>
      </w:r>
    </w:p>
    <w:p>
      <w:r>
        <w:rPr>
          <w:sz w:val="22"/>
        </w:rPr>
        <w:t>Le rattachement n'est qu'une demande : l'établissement choisi doit la valider.</w:t>
      </w:r>
    </w:p>
    <w:p>
      <w:pPr>
        <w:keepNext/>
        <w:jc w:val="center"/>
      </w:pPr>
      <w:r>
        <w:drawing>
          <wp:inline xmlns:a="http://schemas.openxmlformats.org/drawingml/2006/main" xmlns:pic="http://schemas.openxmlformats.org/drawingml/2006/picture">
            <wp:extent cx="5400000" cy="3375000"/>
            <wp:docPr id="31" name="Picture 31"/>
            <wp:cNvGraphicFramePr>
              <a:graphicFrameLocks noChangeAspect="1"/>
            </wp:cNvGraphicFramePr>
            <a:graphic>
              <a:graphicData uri="http://schemas.openxmlformats.org/drawingml/2006/picture">
                <pic:pic>
                  <pic:nvPicPr>
                    <pic:cNvPr id="0" name="031-a8.png"/>
                    <pic:cNvPicPr/>
                  </pic:nvPicPr>
                  <pic:blipFill>
                    <a:blip r:embed="rId39"/>
                    <a:stretch>
                      <a:fillRect/>
                    </a:stretch>
                  </pic:blipFill>
                  <pic:spPr>
                    <a:xfrm>
                      <a:off x="0" y="0"/>
                      <a:ext cx="5400000" cy="3375000"/>
                    </a:xfrm>
                    <a:prstGeom prst="rect"/>
                  </pic:spPr>
                </pic:pic>
              </a:graphicData>
            </a:graphic>
          </wp:inline>
        </w:drawing>
      </w:r>
    </w:p>
    <w:p>
      <w:pPr>
        <w:spacing w:before="0" w:after="240"/>
      </w:pPr>
      <w:r>
        <w:rPr>
          <w:color w:val="565B6E"/>
          <w:sz w:val="18"/>
        </w:rPr>
        <w:t>Figure 3.31 : L'activation du compte par l'étudiante</w:t>
      </w:r>
    </w:p>
    <w:p>
      <w:r>
        <w:rPr>
          <w:sz w:val="22"/>
        </w:rPr>
        <w:t>Le lien a d'abord été vérifié : s'il avait expiré ou déjà servi, la page l'aurait dit sans faire saisir de mot de passe. Il rappelle l'adresse du compte concerné, pour éviter d'activer le mauvais quand plusieurs liens traînent dans une boîte. Mialy choisit elle-même son mot de passe, soumis à la même politique que les autres.</w:t>
      </w:r>
    </w:p>
    <w:p>
      <w:pPr>
        <w:keepNext/>
        <w:jc w:val="center"/>
      </w:pPr>
      <w:r>
        <w:drawing>
          <wp:inline xmlns:a="http://schemas.openxmlformats.org/drawingml/2006/main" xmlns:pic="http://schemas.openxmlformats.org/drawingml/2006/picture">
            <wp:extent cx="5400000" cy="3375000"/>
            <wp:docPr id="32" name="Picture 32"/>
            <wp:cNvGraphicFramePr>
              <a:graphicFrameLocks noChangeAspect="1"/>
            </wp:cNvGraphicFramePr>
            <a:graphic>
              <a:graphicData uri="http://schemas.openxmlformats.org/drawingml/2006/picture">
                <pic:pic>
                  <pic:nvPicPr>
                    <pic:cNvPr id="0" name="032-a8.png"/>
                    <pic:cNvPicPr/>
                  </pic:nvPicPr>
                  <pic:blipFill>
                    <a:blip r:embed="rId40"/>
                    <a:stretch>
                      <a:fillRect/>
                    </a:stretch>
                  </pic:blipFill>
                  <pic:spPr>
                    <a:xfrm>
                      <a:off x="0" y="0"/>
                      <a:ext cx="5400000" cy="3375000"/>
                    </a:xfrm>
                    <a:prstGeom prst="rect"/>
                  </pic:spPr>
                </pic:pic>
              </a:graphicData>
            </a:graphic>
          </wp:inline>
        </w:drawing>
      </w:r>
    </w:p>
    <w:p>
      <w:pPr>
        <w:spacing w:before="0" w:after="240"/>
      </w:pPr>
      <w:r>
        <w:rPr>
          <w:color w:val="565B6E"/>
          <w:sz w:val="18"/>
        </w:rPr>
        <w:t>Figure 3.32 : Le compte activé</w:t>
      </w:r>
    </w:p>
    <w:p>
      <w:r>
        <w:rPr>
          <w:sz w:val="22"/>
        </w:rPr>
        <w:t>Le lien est consommé et tous les autres liens encore ouverts pour ce compte sont invalidés. La page redirige vers l'écran de connexion.</w:t>
      </w:r>
    </w:p>
    <w:p>
      <w:pPr>
        <w:keepNext/>
        <w:jc w:val="center"/>
      </w:pPr>
      <w:r>
        <w:drawing>
          <wp:inline xmlns:a="http://schemas.openxmlformats.org/drawingml/2006/main" xmlns:pic="http://schemas.openxmlformats.org/drawingml/2006/picture">
            <wp:extent cx="5400000" cy="3375000"/>
            <wp:docPr id="33" name="Picture 33"/>
            <wp:cNvGraphicFramePr>
              <a:graphicFrameLocks noChangeAspect="1"/>
            </wp:cNvGraphicFramePr>
            <a:graphic>
              <a:graphicData uri="http://schemas.openxmlformats.org/drawingml/2006/picture">
                <pic:pic>
                  <pic:nvPicPr>
                    <pic:cNvPr id="0" name="033-a8.png"/>
                    <pic:cNvPicPr/>
                  </pic:nvPicPr>
                  <pic:blipFill>
                    <a:blip r:embed="rId41"/>
                    <a:stretch>
                      <a:fillRect/>
                    </a:stretch>
                  </pic:blipFill>
                  <pic:spPr>
                    <a:xfrm>
                      <a:off x="0" y="0"/>
                      <a:ext cx="5400000" cy="3375000"/>
                    </a:xfrm>
                    <a:prstGeom prst="rect"/>
                  </pic:spPr>
                </pic:pic>
              </a:graphicData>
            </a:graphic>
          </wp:inline>
        </w:drawing>
      </w:r>
    </w:p>
    <w:p>
      <w:pPr>
        <w:spacing w:before="0" w:after="240"/>
      </w:pPr>
      <w:r>
        <w:rPr>
          <w:color w:val="565B6E"/>
          <w:sz w:val="18"/>
        </w:rPr>
        <w:t>Figure 3.33 : La connexion d'un étudiant</w:t>
      </w:r>
    </w:p>
    <w:p>
      <w:r>
        <w:rPr>
          <w:sz w:val="22"/>
        </w:rPr>
        <w:t>Mialy se connecte avec l'adresse choisie par son établissement et le mot de passe qu'elle vient de définir.</w:t>
      </w:r>
    </w:p>
    <w:p>
      <w:pPr>
        <w:pStyle w:val="Heading3"/>
      </w:pPr>
      <w:r>
        <w:t>3.3.9  L'université tranche les rattachements</w:t>
      </w:r>
    </w:p>
    <w:p>
      <w:r>
        <w:rPr>
          <w:sz w:val="22"/>
        </w:rPr>
        <w:t>Deux demandes attendent l'ENI : celle d'Hasina et celle de Rivo. L'établissement valide la première, refuse la seconde, puis confirme l'identité d'Hasina. L'ISPM, de son côté, valide Toky.</w:t>
      </w:r>
    </w:p>
    <w:p>
      <w:r>
        <w:rPr>
          <w:i/>
          <w:sz w:val="22"/>
        </w:rPr>
        <w:t>Acteurs : ENI, ISPM.</w:t>
      </w:r>
    </w:p>
    <w:p>
      <w:pPr>
        <w:keepNext/>
        <w:jc w:val="center"/>
      </w:pPr>
      <w:r>
        <w:drawing>
          <wp:inline xmlns:a="http://schemas.openxmlformats.org/drawingml/2006/main" xmlns:pic="http://schemas.openxmlformats.org/drawingml/2006/picture">
            <wp:extent cx="5400000" cy="3375000"/>
            <wp:docPr id="34" name="Picture 34"/>
            <wp:cNvGraphicFramePr>
              <a:graphicFrameLocks noChangeAspect="1"/>
            </wp:cNvGraphicFramePr>
            <a:graphic>
              <a:graphicData uri="http://schemas.openxmlformats.org/drawingml/2006/picture">
                <pic:pic>
                  <pic:nvPicPr>
                    <pic:cNvPr id="0" name="034-a9.png"/>
                    <pic:cNvPicPr/>
                  </pic:nvPicPr>
                  <pic:blipFill>
                    <a:blip r:embed="rId42"/>
                    <a:stretch>
                      <a:fillRect/>
                    </a:stretch>
                  </pic:blipFill>
                  <pic:spPr>
                    <a:xfrm>
                      <a:off x="0" y="0"/>
                      <a:ext cx="5400000" cy="3375000"/>
                    </a:xfrm>
                    <a:prstGeom prst="rect"/>
                  </pic:spPr>
                </pic:pic>
              </a:graphicData>
            </a:graphic>
          </wp:inline>
        </w:drawing>
      </w:r>
    </w:p>
    <w:p>
      <w:pPr>
        <w:spacing w:before="0" w:after="240"/>
      </w:pPr>
      <w:r>
        <w:rPr>
          <w:color w:val="565B6E"/>
          <w:sz w:val="18"/>
        </w:rPr>
        <w:t>Figure 3.34 : Les demandes de rattachement en attente</w:t>
      </w:r>
    </w:p>
    <w:p>
      <w:r>
        <w:rPr>
          <w:sz w:val="22"/>
        </w:rPr>
        <w:t>Chaque demande présente le nom, le matricule déclaré et la filière. L'établissement est seul à savoir si la personne est réellement inscrite chez lui : la plateforme ne valide jamais un rattachement à sa place.</w:t>
      </w:r>
    </w:p>
    <w:p>
      <w:pPr>
        <w:keepNext/>
        <w:jc w:val="center"/>
      </w:pPr>
      <w:r>
        <w:drawing>
          <wp:inline xmlns:a="http://schemas.openxmlformats.org/drawingml/2006/main" xmlns:pic="http://schemas.openxmlformats.org/drawingml/2006/picture">
            <wp:extent cx="5400000" cy="3375000"/>
            <wp:docPr id="35" name="Picture 35"/>
            <wp:cNvGraphicFramePr>
              <a:graphicFrameLocks noChangeAspect="1"/>
            </wp:cNvGraphicFramePr>
            <a:graphic>
              <a:graphicData uri="http://schemas.openxmlformats.org/drawingml/2006/picture">
                <pic:pic>
                  <pic:nvPicPr>
                    <pic:cNvPr id="0" name="035-a9.png"/>
                    <pic:cNvPicPr/>
                  </pic:nvPicPr>
                  <pic:blipFill>
                    <a:blip r:embed="rId43"/>
                    <a:stretch>
                      <a:fillRect/>
                    </a:stretch>
                  </pic:blipFill>
                  <pic:spPr>
                    <a:xfrm>
                      <a:off x="0" y="0"/>
                      <a:ext cx="5400000" cy="3375000"/>
                    </a:xfrm>
                    <a:prstGeom prst="rect"/>
                  </pic:spPr>
                </pic:pic>
              </a:graphicData>
            </a:graphic>
          </wp:inline>
        </w:drawing>
      </w:r>
    </w:p>
    <w:p>
      <w:pPr>
        <w:spacing w:before="0" w:after="240"/>
      </w:pPr>
      <w:r>
        <w:rPr>
          <w:color w:val="565B6E"/>
          <w:sz w:val="18"/>
        </w:rPr>
        <w:t>Figure 3.35 : Hasina rattachée, Rivo refusé</w:t>
      </w:r>
    </w:p>
    <w:p>
      <w:r>
        <w:rPr>
          <w:sz w:val="22"/>
        </w:rPr>
        <w:t>Hasina rejoint la liste des étudiants actifs, aux côtés de la promotion importée. Rivo n'y figure pas : son compte reste valide, mais sans établissement. Le bouton « Vérifier l'identité » est une seconde étape, distincte : il atteste que l'étudiant est bien celui qu'il prétend être, et n'est proposé que si le matricule est renseigné.</w:t>
      </w:r>
    </w:p>
    <w:p>
      <w:pPr>
        <w:pStyle w:val="Heading3"/>
      </w:pPr>
      <w:r>
        <w:t>3.3.10  Les entreprises publient leurs offres</w:t>
      </w:r>
    </w:p>
    <w:p>
      <w:r>
        <w:rPr>
          <w:sz w:val="22"/>
        </w:rPr>
        <w:t>Ingenosya complète sa présentation, puis publie deux offres de stage, chacune assortie des compétences exigées et d'un questionnaire de présélection. Telma publie la sienne. Ingenosya revient ensuite sur une offre déjà publiée pour la corriger.</w:t>
      </w:r>
    </w:p>
    <w:p>
      <w:r>
        <w:rPr>
          <w:i/>
          <w:sz w:val="22"/>
        </w:rPr>
        <w:t>Acteurs : Ingenosya, Telma.</w:t>
      </w:r>
    </w:p>
    <w:p>
      <w:pPr>
        <w:keepNext/>
        <w:jc w:val="center"/>
      </w:pPr>
      <w:r>
        <w:drawing>
          <wp:inline xmlns:a="http://schemas.openxmlformats.org/drawingml/2006/main" xmlns:pic="http://schemas.openxmlformats.org/drawingml/2006/picture">
            <wp:extent cx="5400000" cy="3375000"/>
            <wp:docPr id="36" name="Picture 36"/>
            <wp:cNvGraphicFramePr>
              <a:graphicFrameLocks noChangeAspect="1"/>
            </wp:cNvGraphicFramePr>
            <a:graphic>
              <a:graphicData uri="http://schemas.openxmlformats.org/drawingml/2006/picture">
                <pic:pic>
                  <pic:nvPicPr>
                    <pic:cNvPr id="0" name="036-a10.png"/>
                    <pic:cNvPicPr/>
                  </pic:nvPicPr>
                  <pic:blipFill>
                    <a:blip r:embed="rId44"/>
                    <a:stretch>
                      <a:fillRect/>
                    </a:stretch>
                  </pic:blipFill>
                  <pic:spPr>
                    <a:xfrm>
                      <a:off x="0" y="0"/>
                      <a:ext cx="5400000" cy="3375000"/>
                    </a:xfrm>
                    <a:prstGeom prst="rect"/>
                  </pic:spPr>
                </pic:pic>
              </a:graphicData>
            </a:graphic>
          </wp:inline>
        </w:drawing>
      </w:r>
    </w:p>
    <w:p>
      <w:pPr>
        <w:spacing w:before="0" w:after="240"/>
      </w:pPr>
      <w:r>
        <w:rPr>
          <w:color w:val="565B6E"/>
          <w:sz w:val="18"/>
        </w:rPr>
        <w:t>Figure 3.36 : Le tableau de bord de l'entreprise, avant toute offre</w:t>
      </w:r>
    </w:p>
    <w:p>
      <w:r>
        <w:rPr>
          <w:sz w:val="22"/>
        </w:rPr>
        <w:t>L'entreprise dispose de trois entrées : publier une offre, suivre les candidatures, rechercher des candidats. Aucune offre n'est encore en ligne.</w:t>
      </w:r>
    </w:p>
    <w:p>
      <w:pPr>
        <w:keepNext/>
        <w:jc w:val="center"/>
      </w:pPr>
      <w:r>
        <w:drawing>
          <wp:inline xmlns:a="http://schemas.openxmlformats.org/drawingml/2006/main" xmlns:pic="http://schemas.openxmlformats.org/drawingml/2006/picture">
            <wp:extent cx="5400000" cy="3375000"/>
            <wp:docPr id="37" name="Picture 37"/>
            <wp:cNvGraphicFramePr>
              <a:graphicFrameLocks noChangeAspect="1"/>
            </wp:cNvGraphicFramePr>
            <a:graphic>
              <a:graphicData uri="http://schemas.openxmlformats.org/drawingml/2006/picture">
                <pic:pic>
                  <pic:nvPicPr>
                    <pic:cNvPr id="0" name="037-a10.png"/>
                    <pic:cNvPicPr/>
                  </pic:nvPicPr>
                  <pic:blipFill>
                    <a:blip r:embed="rId45"/>
                    <a:stretch>
                      <a:fillRect/>
                    </a:stretch>
                  </pic:blipFill>
                  <pic:spPr>
                    <a:xfrm>
                      <a:off x="0" y="0"/>
                      <a:ext cx="5400000" cy="3375000"/>
                    </a:xfrm>
                    <a:prstGeom prst="rect"/>
                  </pic:spPr>
                </pic:pic>
              </a:graphicData>
            </a:graphic>
          </wp:inline>
        </w:drawing>
      </w:r>
    </w:p>
    <w:p>
      <w:pPr>
        <w:spacing w:before="0" w:after="240"/>
      </w:pPr>
      <w:r>
        <w:rPr>
          <w:color w:val="565B6E"/>
          <w:sz w:val="18"/>
        </w:rPr>
        <w:t>Figure 3.37 : La modification de la fiche entreprise</w:t>
      </w:r>
    </w:p>
    <w:p>
      <w:r>
        <w:rPr>
          <w:sz w:val="22"/>
        </w:rPr>
        <w:t>L'entreprise peut à tout moment préciser son secteur, sa forme juridique et sa présentation, et déposer son logo. Ces informations alimentent sa fiche publique, celle que consultent les étudiants avant de postuler.</w:t>
      </w:r>
    </w:p>
    <w:p>
      <w:pPr>
        <w:keepNext/>
        <w:jc w:val="center"/>
      </w:pPr>
      <w:r>
        <w:drawing>
          <wp:inline xmlns:a="http://schemas.openxmlformats.org/drawingml/2006/main" xmlns:pic="http://schemas.openxmlformats.org/drawingml/2006/picture">
            <wp:extent cx="5400000" cy="3375000"/>
            <wp:docPr id="38" name="Picture 38"/>
            <wp:cNvGraphicFramePr>
              <a:graphicFrameLocks noChangeAspect="1"/>
            </wp:cNvGraphicFramePr>
            <a:graphic>
              <a:graphicData uri="http://schemas.openxmlformats.org/drawingml/2006/picture">
                <pic:pic>
                  <pic:nvPicPr>
                    <pic:cNvPr id="0" name="038-a10.png"/>
                    <pic:cNvPicPr/>
                  </pic:nvPicPr>
                  <pic:blipFill>
                    <a:blip r:embed="rId46"/>
                    <a:stretch>
                      <a:fillRect/>
                    </a:stretch>
                  </pic:blipFill>
                  <pic:spPr>
                    <a:xfrm>
                      <a:off x="0" y="0"/>
                      <a:ext cx="5400000" cy="3375000"/>
                    </a:xfrm>
                    <a:prstGeom prst="rect"/>
                  </pic:spPr>
                </pic:pic>
              </a:graphicData>
            </a:graphic>
          </wp:inline>
        </w:drawing>
      </w:r>
    </w:p>
    <w:p>
      <w:pPr>
        <w:spacing w:before="0" w:after="240"/>
      </w:pPr>
      <w:r>
        <w:rPr>
          <w:color w:val="565B6E"/>
          <w:sz w:val="18"/>
        </w:rPr>
        <w:t>Figure 3.38 : La publication d'une offre : les détails</w:t>
      </w:r>
    </w:p>
    <w:p>
      <w:r>
        <w:rPr>
          <w:sz w:val="22"/>
        </w:rPr>
        <w:t>Domaine, niveau, type de stage, durée, ville et télétravail se choisissent dans des listes fermées. C'est une contrainte pour l'entreprise, mais la condition pour que la plateforme puisse comparer l'offre aux préférences des étudiants : une durée saisie « un semestre » ne se compare à rien.</w:t>
      </w:r>
    </w:p>
    <w:p>
      <w:pPr>
        <w:keepNext/>
        <w:jc w:val="center"/>
      </w:pPr>
      <w:r>
        <w:drawing>
          <wp:inline xmlns:a="http://schemas.openxmlformats.org/drawingml/2006/main" xmlns:pic="http://schemas.openxmlformats.org/drawingml/2006/picture">
            <wp:extent cx="5400000" cy="3375000"/>
            <wp:docPr id="39" name="Picture 39"/>
            <wp:cNvGraphicFramePr>
              <a:graphicFrameLocks noChangeAspect="1"/>
            </wp:cNvGraphicFramePr>
            <a:graphic>
              <a:graphicData uri="http://schemas.openxmlformats.org/drawingml/2006/picture">
                <pic:pic>
                  <pic:nvPicPr>
                    <pic:cNvPr id="0" name="039-a10.png"/>
                    <pic:cNvPicPr/>
                  </pic:nvPicPr>
                  <pic:blipFill>
                    <a:blip r:embed="rId47"/>
                    <a:stretch>
                      <a:fillRect/>
                    </a:stretch>
                  </pic:blipFill>
                  <pic:spPr>
                    <a:xfrm>
                      <a:off x="0" y="0"/>
                      <a:ext cx="5400000" cy="3375000"/>
                    </a:xfrm>
                    <a:prstGeom prst="rect"/>
                  </pic:spPr>
                </pic:pic>
              </a:graphicData>
            </a:graphic>
          </wp:inline>
        </w:drawing>
      </w:r>
    </w:p>
    <w:p>
      <w:pPr>
        <w:spacing w:before="0" w:after="240"/>
      </w:pPr>
      <w:r>
        <w:rPr>
          <w:color w:val="565B6E"/>
          <w:sz w:val="18"/>
        </w:rPr>
        <w:t>Figure 3.39 : La publication d'une offre : les compétences exigées</w:t>
      </w:r>
    </w:p>
    <w:p>
      <w:r>
        <w:rPr>
          <w:sz w:val="22"/>
        </w:rPr>
        <w:t>Chaque compétence est prise dans le référentiel, avec le niveau souhaité, et peut être déclarée obligatoire. React et Node.js le sont pour ce poste ; PostgreSQL et Git sont appréciés. Cette distinction pèse dans le calcul du rapprochement.</w:t>
      </w:r>
    </w:p>
    <w:p>
      <w:pPr>
        <w:keepNext/>
        <w:jc w:val="center"/>
      </w:pPr>
      <w:r>
        <w:drawing>
          <wp:inline xmlns:a="http://schemas.openxmlformats.org/drawingml/2006/main" xmlns:pic="http://schemas.openxmlformats.org/drawingml/2006/picture">
            <wp:extent cx="5400000" cy="3375000"/>
            <wp:docPr id="40" name="Picture 40"/>
            <wp:cNvGraphicFramePr>
              <a:graphicFrameLocks noChangeAspect="1"/>
            </wp:cNvGraphicFramePr>
            <a:graphic>
              <a:graphicData uri="http://schemas.openxmlformats.org/drawingml/2006/picture">
                <pic:pic>
                  <pic:nvPicPr>
                    <pic:cNvPr id="0" name="040-a10.png"/>
                    <pic:cNvPicPr/>
                  </pic:nvPicPr>
                  <pic:blipFill>
                    <a:blip r:embed="rId48"/>
                    <a:stretch>
                      <a:fillRect/>
                    </a:stretch>
                  </pic:blipFill>
                  <pic:spPr>
                    <a:xfrm>
                      <a:off x="0" y="0"/>
                      <a:ext cx="5400000" cy="3375000"/>
                    </a:xfrm>
                    <a:prstGeom prst="rect"/>
                  </pic:spPr>
                </pic:pic>
              </a:graphicData>
            </a:graphic>
          </wp:inline>
        </w:drawing>
      </w:r>
    </w:p>
    <w:p>
      <w:pPr>
        <w:spacing w:before="0" w:after="240"/>
      </w:pPr>
      <w:r>
        <w:rPr>
          <w:color w:val="565B6E"/>
          <w:sz w:val="18"/>
        </w:rPr>
        <w:t>Figure 3.40 : Le questionnaire de présélection</w:t>
      </w:r>
    </w:p>
    <w:p>
      <w:r>
        <w:rPr>
          <w:sz w:val="22"/>
        </w:rPr>
        <w:t>L'entreprise rédige ses questions, leurs choix de réponse et désigne la bonne. Chaque question vaut un nombre de points ; une explication facultative s'affiche après la réponse. La note minimale n'élimine personne automatiquement : elle renseigne le recruteur, qui garde la décision.</w:t>
      </w:r>
    </w:p>
    <w:p>
      <w:pPr>
        <w:keepNext/>
        <w:jc w:val="center"/>
      </w:pPr>
      <w:r>
        <w:drawing>
          <wp:inline xmlns:a="http://schemas.openxmlformats.org/drawingml/2006/main" xmlns:pic="http://schemas.openxmlformats.org/drawingml/2006/picture">
            <wp:extent cx="5400000" cy="3375000"/>
            <wp:docPr id="41" name="Picture 41"/>
            <wp:cNvGraphicFramePr>
              <a:graphicFrameLocks noChangeAspect="1"/>
            </wp:cNvGraphicFramePr>
            <a:graphic>
              <a:graphicData uri="http://schemas.openxmlformats.org/drawingml/2006/picture">
                <pic:pic>
                  <pic:nvPicPr>
                    <pic:cNvPr id="0" name="041-a10.png"/>
                    <pic:cNvPicPr/>
                  </pic:nvPicPr>
                  <pic:blipFill>
                    <a:blip r:embed="rId49"/>
                    <a:stretch>
                      <a:fillRect/>
                    </a:stretch>
                  </pic:blipFill>
                  <pic:spPr>
                    <a:xfrm>
                      <a:off x="0" y="0"/>
                      <a:ext cx="5400000" cy="3375000"/>
                    </a:xfrm>
                    <a:prstGeom prst="rect"/>
                  </pic:spPr>
                </pic:pic>
              </a:graphicData>
            </a:graphic>
          </wp:inline>
        </w:drawing>
      </w:r>
    </w:p>
    <w:p>
      <w:pPr>
        <w:spacing w:before="0" w:after="240"/>
      </w:pPr>
      <w:r>
        <w:rPr>
          <w:color w:val="565B6E"/>
          <w:sz w:val="18"/>
        </w:rPr>
        <w:t>Figure 3.41 : Les offres publiées sur le tableau de bord</w:t>
      </w:r>
    </w:p>
    <w:p>
      <w:r>
        <w:rPr>
          <w:sz w:val="22"/>
        </w:rPr>
        <w:t>Les deux offres sont en ligne. Chacune donne accès à sa modification et à la liste des candidats que la plateforme lui associe.</w:t>
      </w:r>
    </w:p>
    <w:p>
      <w:pPr>
        <w:keepNext/>
        <w:jc w:val="center"/>
      </w:pPr>
      <w:r>
        <w:drawing>
          <wp:inline xmlns:a="http://schemas.openxmlformats.org/drawingml/2006/main" xmlns:pic="http://schemas.openxmlformats.org/drawingml/2006/picture">
            <wp:extent cx="5400000" cy="3375000"/>
            <wp:docPr id="42" name="Picture 42"/>
            <wp:cNvGraphicFramePr>
              <a:graphicFrameLocks noChangeAspect="1"/>
            </wp:cNvGraphicFramePr>
            <a:graphic>
              <a:graphicData uri="http://schemas.openxmlformats.org/drawingml/2006/picture">
                <pic:pic>
                  <pic:nvPicPr>
                    <pic:cNvPr id="0" name="042-a10.png"/>
                    <pic:cNvPicPr/>
                  </pic:nvPicPr>
                  <pic:blipFill>
                    <a:blip r:embed="rId50"/>
                    <a:stretch>
                      <a:fillRect/>
                    </a:stretch>
                  </pic:blipFill>
                  <pic:spPr>
                    <a:xfrm>
                      <a:off x="0" y="0"/>
                      <a:ext cx="5400000" cy="3375000"/>
                    </a:xfrm>
                    <a:prstGeom prst="rect"/>
                  </pic:spPr>
                </pic:pic>
              </a:graphicData>
            </a:graphic>
          </wp:inline>
        </w:drawing>
      </w:r>
    </w:p>
    <w:p>
      <w:pPr>
        <w:spacing w:before="0" w:after="240"/>
      </w:pPr>
      <w:r>
        <w:rPr>
          <w:color w:val="565B6E"/>
          <w:sz w:val="18"/>
        </w:rPr>
        <w:t>Figure 3.42 : La modification d'une offre publiée</w:t>
      </w:r>
    </w:p>
    <w:p>
      <w:r>
        <w:rPr>
          <w:sz w:val="22"/>
        </w:rPr>
        <w:t>Ingenosya allonge la durée de son offre d'analyste à cinq mois. Une offre reste modifiable après publication, compétences exigées comprises : le rapprochement avec les profils se recalcule alors pour tous les étudiants.</w:t>
      </w:r>
    </w:p>
    <w:p>
      <w:pPr>
        <w:pStyle w:val="Heading3"/>
      </w:pPr>
      <w:r>
        <w:t>3.3.11  Les étudiants constituent leur dossier</w:t>
      </w:r>
    </w:p>
    <w:p>
      <w:r>
        <w:rPr>
          <w:sz w:val="22"/>
        </w:rPr>
        <w:t>Hasina dépose son CV et demande à la plateforme de le lire. Les compétences détectées lui sont proposées : elle garde celles qui la décrivent et écarte les autres. Mialy dépose un CV numérisé, lisible seulement par reconnaissance optique de caractères.</w:t>
      </w:r>
    </w:p>
    <w:p>
      <w:r>
        <w:rPr>
          <w:i/>
          <w:sz w:val="22"/>
        </w:rPr>
        <w:t>Acteurs : Hasina Rakotoarisoa, Mialy Randrianarisoa, Toky Andriamahefa.</w:t>
      </w:r>
    </w:p>
    <w:p>
      <w:pPr>
        <w:keepNext/>
        <w:jc w:val="center"/>
      </w:pPr>
      <w:r>
        <w:drawing>
          <wp:inline xmlns:a="http://schemas.openxmlformats.org/drawingml/2006/main" xmlns:pic="http://schemas.openxmlformats.org/drawingml/2006/picture">
            <wp:extent cx="5400000" cy="3375000"/>
            <wp:docPr id="43" name="Picture 43"/>
            <wp:cNvGraphicFramePr>
              <a:graphicFrameLocks noChangeAspect="1"/>
            </wp:cNvGraphicFramePr>
            <a:graphic>
              <a:graphicData uri="http://schemas.openxmlformats.org/drawingml/2006/picture">
                <pic:pic>
                  <pic:nvPicPr>
                    <pic:cNvPr id="0" name="043-a11.png"/>
                    <pic:cNvPicPr/>
                  </pic:nvPicPr>
                  <pic:blipFill>
                    <a:blip r:embed="rId51"/>
                    <a:stretch>
                      <a:fillRect/>
                    </a:stretch>
                  </pic:blipFill>
                  <pic:spPr>
                    <a:xfrm>
                      <a:off x="0" y="0"/>
                      <a:ext cx="5400000" cy="3375000"/>
                    </a:xfrm>
                    <a:prstGeom prst="rect"/>
                  </pic:spPr>
                </pic:pic>
              </a:graphicData>
            </a:graphic>
          </wp:inline>
        </w:drawing>
      </w:r>
    </w:p>
    <w:p>
      <w:pPr>
        <w:spacing w:before="0" w:after="240"/>
      </w:pPr>
      <w:r>
        <w:rPr>
          <w:color w:val="565B6E"/>
          <w:sz w:val="18"/>
        </w:rPr>
        <w:t>Figure 3.43 : Le dépôt d'un CV</w:t>
      </w:r>
    </w:p>
    <w:p>
      <w:r>
        <w:rPr>
          <w:sz w:val="22"/>
        </w:rPr>
        <w:t>L'étudiant nomme chaque version de son CV : il peut en conserver plusieurs et choisir, pour chaque candidature, celle qui convient. Seul le PDF est accepté, jusqu'à 5 Mo.</w:t>
      </w:r>
    </w:p>
    <w:p>
      <w:pPr>
        <w:keepNext/>
        <w:jc w:val="center"/>
      </w:pPr>
      <w:r>
        <w:drawing>
          <wp:inline xmlns:a="http://schemas.openxmlformats.org/drawingml/2006/main" xmlns:pic="http://schemas.openxmlformats.org/drawingml/2006/picture">
            <wp:extent cx="5400000" cy="6312500"/>
            <wp:docPr id="44" name="Picture 44"/>
            <wp:cNvGraphicFramePr>
              <a:graphicFrameLocks noChangeAspect="1"/>
            </wp:cNvGraphicFramePr>
            <a:graphic>
              <a:graphicData uri="http://schemas.openxmlformats.org/drawingml/2006/picture">
                <pic:pic>
                  <pic:nvPicPr>
                    <pic:cNvPr id="0" name="044-a11.png"/>
                    <pic:cNvPicPr/>
                  </pic:nvPicPr>
                  <pic:blipFill>
                    <a:blip r:embed="rId52"/>
                    <a:stretch>
                      <a:fillRect/>
                    </a:stretch>
                  </pic:blipFill>
                  <pic:spPr>
                    <a:xfrm>
                      <a:off x="0" y="0"/>
                      <a:ext cx="5400000" cy="6312500"/>
                    </a:xfrm>
                    <a:prstGeom prst="rect"/>
                  </pic:spPr>
                </pic:pic>
              </a:graphicData>
            </a:graphic>
          </wp:inline>
        </w:drawing>
      </w:r>
    </w:p>
    <w:p>
      <w:pPr>
        <w:spacing w:before="0" w:after="240"/>
      </w:pPr>
      <w:r>
        <w:rPr>
          <w:color w:val="565B6E"/>
          <w:sz w:val="18"/>
        </w:rPr>
        <w:t>Figure 3.44 : Les compétences détectées dans le CV</w:t>
      </w:r>
    </w:p>
    <w:p>
      <w:r>
        <w:rPr>
          <w:sz w:val="22"/>
        </w:rPr>
        <w:t>La plateforme a lu le document et rapproché son contenu du référentiel. Chaque proposition indique où elle a été lue (rubrique et page) et l'extrait qui la justifie, faute de quoi l'étudiante n'aurait aucun moyen de trancher. Les compétences déjà présentes au profil sont signalées. Rien n'est ajouté sans son accord.</w:t>
      </w:r>
    </w:p>
    <w:p>
      <w:pPr>
        <w:keepNext/>
        <w:jc w:val="center"/>
      </w:pPr>
      <w:r>
        <w:drawing>
          <wp:inline xmlns:a="http://schemas.openxmlformats.org/drawingml/2006/main" xmlns:pic="http://schemas.openxmlformats.org/drawingml/2006/picture">
            <wp:extent cx="5400000" cy="3375000"/>
            <wp:docPr id="45" name="Picture 45"/>
            <wp:cNvGraphicFramePr>
              <a:graphicFrameLocks noChangeAspect="1"/>
            </wp:cNvGraphicFramePr>
            <a:graphic>
              <a:graphicData uri="http://schemas.openxmlformats.org/drawingml/2006/picture">
                <pic:pic>
                  <pic:nvPicPr>
                    <pic:cNvPr id="0" name="045-a11.png"/>
                    <pic:cNvPicPr/>
                  </pic:nvPicPr>
                  <pic:blipFill>
                    <a:blip r:embed="rId53"/>
                    <a:stretch>
                      <a:fillRect/>
                    </a:stretch>
                  </pic:blipFill>
                  <pic:spPr>
                    <a:xfrm>
                      <a:off x="0" y="0"/>
                      <a:ext cx="5400000" cy="3375000"/>
                    </a:xfrm>
                    <a:prstGeom prst="rect"/>
                  </pic:spPr>
                </pic:pic>
              </a:graphicData>
            </a:graphic>
          </wp:inline>
        </w:drawing>
      </w:r>
    </w:p>
    <w:p>
      <w:pPr>
        <w:spacing w:before="0" w:after="240"/>
      </w:pPr>
      <w:r>
        <w:rPr>
          <w:color w:val="565B6E"/>
          <w:sz w:val="18"/>
        </w:rPr>
        <w:t>Figure 3.45 : Le CV analysé et les compétences confirmées</w:t>
      </w:r>
    </w:p>
    <w:p>
      <w:r>
        <w:rPr>
          <w:sz w:val="22"/>
        </w:rPr>
        <w:t>Hasina a écarté Docker, qu'elle ne pratique qu'à peine, et retenu le reste, dont Node.js, absent de son inscription. La carte du CV indique désormais qu'il a été analysé et combien de compétences il a apportées au profil.</w:t>
      </w:r>
    </w:p>
    <w:p>
      <w:pPr>
        <w:keepNext/>
        <w:jc w:val="center"/>
      </w:pPr>
      <w:r>
        <w:drawing>
          <wp:inline xmlns:a="http://schemas.openxmlformats.org/drawingml/2006/main" xmlns:pic="http://schemas.openxmlformats.org/drawingml/2006/picture">
            <wp:extent cx="5400000" cy="5542500"/>
            <wp:docPr id="46" name="Picture 46"/>
            <wp:cNvGraphicFramePr>
              <a:graphicFrameLocks noChangeAspect="1"/>
            </wp:cNvGraphicFramePr>
            <a:graphic>
              <a:graphicData uri="http://schemas.openxmlformats.org/drawingml/2006/picture">
                <pic:pic>
                  <pic:nvPicPr>
                    <pic:cNvPr id="0" name="046-a11.png"/>
                    <pic:cNvPicPr/>
                  </pic:nvPicPr>
                  <pic:blipFill>
                    <a:blip r:embed="rId54"/>
                    <a:stretch>
                      <a:fillRect/>
                    </a:stretch>
                  </pic:blipFill>
                  <pic:spPr>
                    <a:xfrm>
                      <a:off x="0" y="0"/>
                      <a:ext cx="5400000" cy="5542500"/>
                    </a:xfrm>
                    <a:prstGeom prst="rect"/>
                  </pic:spPr>
                </pic:pic>
              </a:graphicData>
            </a:graphic>
          </wp:inline>
        </w:drawing>
      </w:r>
    </w:p>
    <w:p>
      <w:pPr>
        <w:spacing w:before="0" w:after="240"/>
      </w:pPr>
      <w:r>
        <w:rPr>
          <w:color w:val="565B6E"/>
          <w:sz w:val="18"/>
        </w:rPr>
        <w:t>Figure 3.46 : La lecture d'un CV numérisé</w:t>
      </w:r>
    </w:p>
    <w:p>
      <w:r>
        <w:rPr>
          <w:sz w:val="22"/>
        </w:rPr>
        <w:t>Le CV de Mialy est une image : il ne contient aucun texte exploitable. La plateforme l'a détecté page par page et a fait appel à la reconnaissance optique de caractères avant d'y chercher des compétences. Le résultat est présenté de la même manière, et soumis au même contrôle.</w:t>
      </w:r>
    </w:p>
    <w:p>
      <w:pPr>
        <w:keepNext/>
        <w:jc w:val="center"/>
      </w:pPr>
      <w:r>
        <w:drawing>
          <wp:inline xmlns:a="http://schemas.openxmlformats.org/drawingml/2006/main" xmlns:pic="http://schemas.openxmlformats.org/drawingml/2006/picture">
            <wp:extent cx="5400000" cy="6470000"/>
            <wp:docPr id="47" name="Picture 47"/>
            <wp:cNvGraphicFramePr>
              <a:graphicFrameLocks noChangeAspect="1"/>
            </wp:cNvGraphicFramePr>
            <a:graphic>
              <a:graphicData uri="http://schemas.openxmlformats.org/drawingml/2006/picture">
                <pic:pic>
                  <pic:nvPicPr>
                    <pic:cNvPr id="0" name="047-a11.png"/>
                    <pic:cNvPicPr/>
                  </pic:nvPicPr>
                  <pic:blipFill>
                    <a:blip r:embed="rId55"/>
                    <a:stretch>
                      <a:fillRect/>
                    </a:stretch>
                  </pic:blipFill>
                  <pic:spPr>
                    <a:xfrm>
                      <a:off x="0" y="0"/>
                      <a:ext cx="5400000" cy="6470000"/>
                    </a:xfrm>
                    <a:prstGeom prst="rect"/>
                  </pic:spPr>
                </pic:pic>
              </a:graphicData>
            </a:graphic>
          </wp:inline>
        </w:drawing>
      </w:r>
    </w:p>
    <w:p>
      <w:pPr>
        <w:spacing w:before="0" w:after="240"/>
      </w:pPr>
      <w:r>
        <w:rPr>
          <w:color w:val="565B6E"/>
          <w:sz w:val="18"/>
        </w:rPr>
        <w:t>Figure 3.47 : Le profil de l'étudiante</w:t>
      </w:r>
    </w:p>
    <w:p>
      <w:r>
        <w:rPr>
          <w:sz w:val="22"/>
        </w:rPr>
        <w:t>Le profil rassemble l'établissement de rattachement, les compétences avec leur niveau, les préférences de stage et le parcours. C'est lui qu'interroge le moteur de recommandation.</w:t>
      </w:r>
    </w:p>
    <w:p>
      <w:pPr>
        <w:pStyle w:val="Heading3"/>
      </w:pPr>
      <w:r>
        <w:t>3.3.12  Les étudiants postulent</w:t>
      </w:r>
    </w:p>
    <w:p>
      <w:r>
        <w:rPr>
          <w:sz w:val="22"/>
        </w:rPr>
        <w:t>Hasina découvre les offres qui lui sont recommandées et postule chez Ingenosya : questionnaire, choix du CV, lettre de motivation. Toky postule aux deux offres d'Ingenosya.</w:t>
      </w:r>
    </w:p>
    <w:p>
      <w:r>
        <w:rPr>
          <w:i/>
          <w:sz w:val="22"/>
        </w:rPr>
        <w:t>Acteurs : Hasina Rakotoarisoa, Toky Andriamahefa.</w:t>
      </w:r>
    </w:p>
    <w:p>
      <w:pPr>
        <w:keepNext/>
        <w:jc w:val="center"/>
      </w:pPr>
      <w:r>
        <w:drawing>
          <wp:inline xmlns:a="http://schemas.openxmlformats.org/drawingml/2006/main" xmlns:pic="http://schemas.openxmlformats.org/drawingml/2006/picture">
            <wp:extent cx="5400000" cy="5452500"/>
            <wp:docPr id="48" name="Picture 48"/>
            <wp:cNvGraphicFramePr>
              <a:graphicFrameLocks noChangeAspect="1"/>
            </wp:cNvGraphicFramePr>
            <a:graphic>
              <a:graphicData uri="http://schemas.openxmlformats.org/drawingml/2006/picture">
                <pic:pic>
                  <pic:nvPicPr>
                    <pic:cNvPr id="0" name="048-a12.png"/>
                    <pic:cNvPicPr/>
                  </pic:nvPicPr>
                  <pic:blipFill>
                    <a:blip r:embed="rId56"/>
                    <a:stretch>
                      <a:fillRect/>
                    </a:stretch>
                  </pic:blipFill>
                  <pic:spPr>
                    <a:xfrm>
                      <a:off x="0" y="0"/>
                      <a:ext cx="5400000" cy="5452500"/>
                    </a:xfrm>
                    <a:prstGeom prst="rect"/>
                  </pic:spPr>
                </pic:pic>
              </a:graphicData>
            </a:graphic>
          </wp:inline>
        </w:drawing>
      </w:r>
    </w:p>
    <w:p>
      <w:pPr>
        <w:spacing w:before="0" w:after="240"/>
      </w:pPr>
      <w:r>
        <w:rPr>
          <w:color w:val="565B6E"/>
          <w:sz w:val="18"/>
        </w:rPr>
        <w:t>Figure 3.48 : Les offres de stage, vues par l'étudiante</w:t>
      </w:r>
    </w:p>
    <w:p>
      <w:r>
        <w:rPr>
          <w:sz w:val="22"/>
        </w:rPr>
        <w:t>Au-dessus de la liste complète, la plateforme met en avant les offres qu'elle destine à Hasina, chacune avec le motif du rapprochement. Sur une plateforme qui ne compte encore que trois offres, le classement reste sommaire ; la partie B montrera ce même écran sur un corpus complet.</w:t>
      </w:r>
    </w:p>
    <w:p>
      <w:pPr>
        <w:keepNext/>
        <w:jc w:val="center"/>
      </w:pPr>
      <w:r>
        <w:drawing>
          <wp:inline xmlns:a="http://schemas.openxmlformats.org/drawingml/2006/main" xmlns:pic="http://schemas.openxmlformats.org/drawingml/2006/picture">
            <wp:extent cx="5400000" cy="3375000"/>
            <wp:docPr id="49" name="Picture 49"/>
            <wp:cNvGraphicFramePr>
              <a:graphicFrameLocks noChangeAspect="1"/>
            </wp:cNvGraphicFramePr>
            <a:graphic>
              <a:graphicData uri="http://schemas.openxmlformats.org/drawingml/2006/picture">
                <pic:pic>
                  <pic:nvPicPr>
                    <pic:cNvPr id="0" name="049-a12.png"/>
                    <pic:cNvPicPr/>
                  </pic:nvPicPr>
                  <pic:blipFill>
                    <a:blip r:embed="rId57"/>
                    <a:stretch>
                      <a:fillRect/>
                    </a:stretch>
                  </pic:blipFill>
                  <pic:spPr>
                    <a:xfrm>
                      <a:off x="0" y="0"/>
                      <a:ext cx="5400000" cy="3375000"/>
                    </a:xfrm>
                    <a:prstGeom prst="rect"/>
                  </pic:spPr>
                </pic:pic>
              </a:graphicData>
            </a:graphic>
          </wp:inline>
        </w:drawing>
      </w:r>
    </w:p>
    <w:p>
      <w:pPr>
        <w:spacing w:before="0" w:after="240"/>
      </w:pPr>
      <w:r>
        <w:rPr>
          <w:color w:val="565B6E"/>
          <w:sz w:val="18"/>
        </w:rPr>
        <w:t>Figure 3.49 : Avant le questionnaire : une seule tentative</w:t>
      </w:r>
    </w:p>
    <w:p>
      <w:r>
        <w:rPr>
          <w:sz w:val="22"/>
        </w:rPr>
        <w:t>L'étudiante est prévenue avant de commencer : elle n'aura qu'une tentative, et fermer l'onglet en cours de route lui coûterait l'offre. On lui rappelle aussi de préparer sa lettre de motivation, demandée pour finaliser l'envoi. Sans cet avertissement, le caractère définitif du questionnaire serait découvert trop tard.</w:t>
      </w:r>
    </w:p>
    <w:p>
      <w:pPr>
        <w:keepNext/>
        <w:jc w:val="center"/>
      </w:pPr>
      <w:r>
        <w:drawing>
          <wp:inline xmlns:a="http://schemas.openxmlformats.org/drawingml/2006/main" xmlns:pic="http://schemas.openxmlformats.org/drawingml/2006/picture">
            <wp:extent cx="5400000" cy="6465000"/>
            <wp:docPr id="50" name="Picture 50"/>
            <wp:cNvGraphicFramePr>
              <a:graphicFrameLocks noChangeAspect="1"/>
            </wp:cNvGraphicFramePr>
            <a:graphic>
              <a:graphicData uri="http://schemas.openxmlformats.org/drawingml/2006/picture">
                <pic:pic>
                  <pic:nvPicPr>
                    <pic:cNvPr id="0" name="050-a12.png"/>
                    <pic:cNvPicPr/>
                  </pic:nvPicPr>
                  <pic:blipFill>
                    <a:blip r:embed="rId58"/>
                    <a:stretch>
                      <a:fillRect/>
                    </a:stretch>
                  </pic:blipFill>
                  <pic:spPr>
                    <a:xfrm>
                      <a:off x="0" y="0"/>
                      <a:ext cx="5400000" cy="6465000"/>
                    </a:xfrm>
                    <a:prstGeom prst="rect"/>
                  </pic:spPr>
                </pic:pic>
              </a:graphicData>
            </a:graphic>
          </wp:inline>
        </w:drawing>
      </w:r>
    </w:p>
    <w:p>
      <w:pPr>
        <w:spacing w:before="0" w:after="240"/>
      </w:pPr>
      <w:r>
        <w:rPr>
          <w:color w:val="565B6E"/>
          <w:sz w:val="18"/>
        </w:rPr>
        <w:t>Figure 3.50 : Le questionnaire rempli et le dossier joint</w:t>
      </w:r>
    </w:p>
    <w:p>
      <w:r>
        <w:rPr>
          <w:sz w:val="22"/>
        </w:rPr>
        <w:t>Hasina a répondu aux trois questions, choisi parmi ses CV celui qu'elle joint, et téléversé sa lettre. Le bouton d'envoi ne s'active qu'une fois toutes les questions répondues et les deux documents fournis. Des pièces complémentaires peuvent être ajoutées.</w:t>
      </w:r>
    </w:p>
    <w:p>
      <w:pPr>
        <w:keepNext/>
        <w:jc w:val="center"/>
      </w:pPr>
      <w:r>
        <w:drawing>
          <wp:inline xmlns:a="http://schemas.openxmlformats.org/drawingml/2006/main" xmlns:pic="http://schemas.openxmlformats.org/drawingml/2006/picture">
            <wp:extent cx="5400000" cy="3375000"/>
            <wp:docPr id="51" name="Picture 51"/>
            <wp:cNvGraphicFramePr>
              <a:graphicFrameLocks noChangeAspect="1"/>
            </wp:cNvGraphicFramePr>
            <a:graphic>
              <a:graphicData uri="http://schemas.openxmlformats.org/drawingml/2006/picture">
                <pic:pic>
                  <pic:nvPicPr>
                    <pic:cNvPr id="0" name="051-a12.png"/>
                    <pic:cNvPicPr/>
                  </pic:nvPicPr>
                  <pic:blipFill>
                    <a:blip r:embed="rId59"/>
                    <a:stretch>
                      <a:fillRect/>
                    </a:stretch>
                  </pic:blipFill>
                  <pic:spPr>
                    <a:xfrm>
                      <a:off x="0" y="0"/>
                      <a:ext cx="5400000" cy="3375000"/>
                    </a:xfrm>
                    <a:prstGeom prst="rect"/>
                  </pic:spPr>
                </pic:pic>
              </a:graphicData>
            </a:graphic>
          </wp:inline>
        </w:drawing>
      </w:r>
    </w:p>
    <w:p>
      <w:pPr>
        <w:spacing w:before="0" w:after="240"/>
      </w:pPr>
      <w:r>
        <w:rPr>
          <w:color w:val="565B6E"/>
          <w:sz w:val="18"/>
        </w:rPr>
        <w:t>Figure 3.51 : La candidature envoyée</w:t>
      </w:r>
    </w:p>
    <w:p>
      <w:r>
        <w:rPr>
          <w:sz w:val="22"/>
        </w:rPr>
        <w:t>La candidature est enregistrée auprès d'Ingenosya. La note au questionnaire a été calculée côté serveur au même moment.</w:t>
      </w:r>
    </w:p>
    <w:p>
      <w:pPr>
        <w:keepNext/>
        <w:jc w:val="center"/>
      </w:pPr>
      <w:r>
        <w:drawing>
          <wp:inline xmlns:a="http://schemas.openxmlformats.org/drawingml/2006/main" xmlns:pic="http://schemas.openxmlformats.org/drawingml/2006/picture">
            <wp:extent cx="5400000" cy="3375000"/>
            <wp:docPr id="52" name="Picture 52"/>
            <wp:cNvGraphicFramePr>
              <a:graphicFrameLocks noChangeAspect="1"/>
            </wp:cNvGraphicFramePr>
            <a:graphic>
              <a:graphicData uri="http://schemas.openxmlformats.org/drawingml/2006/picture">
                <pic:pic>
                  <pic:nvPicPr>
                    <pic:cNvPr id="0" name="052-a12.png"/>
                    <pic:cNvPicPr/>
                  </pic:nvPicPr>
                  <pic:blipFill>
                    <a:blip r:embed="rId60"/>
                    <a:stretch>
                      <a:fillRect/>
                    </a:stretch>
                  </pic:blipFill>
                  <pic:spPr>
                    <a:xfrm>
                      <a:off x="0" y="0"/>
                      <a:ext cx="5400000" cy="3375000"/>
                    </a:xfrm>
                    <a:prstGeom prst="rect"/>
                  </pic:spPr>
                </pic:pic>
              </a:graphicData>
            </a:graphic>
          </wp:inline>
        </w:drawing>
      </w:r>
    </w:p>
    <w:p>
      <w:pPr>
        <w:spacing w:before="0" w:after="240"/>
      </w:pPr>
      <w:r>
        <w:rPr>
          <w:color w:val="565B6E"/>
          <w:sz w:val="18"/>
        </w:rPr>
        <w:t>Figure 3.52 : Le suivi des candidatures</w:t>
      </w:r>
    </w:p>
    <w:p>
      <w:r>
        <w:rPr>
          <w:sz w:val="22"/>
        </w:rPr>
        <w:t>La candidature d'Hasina est « En attente ». Elle porte la note obtenue au questionnaire, calculée par le serveur à partir des réponses enregistrées, jamais transmise par le navigateur, où elle serait falsifiable.</w:t>
      </w:r>
    </w:p>
    <w:p>
      <w:pPr>
        <w:pStyle w:val="Heading3"/>
      </w:pPr>
      <w:r>
        <w:t>3.3.13  L'entreprise décide</w:t>
      </w:r>
    </w:p>
    <w:p>
      <w:r>
        <w:rPr>
          <w:sz w:val="22"/>
        </w:rPr>
        <w:t>Ingenosya examine les candidatures reçues. Elle recrute Hasina, refuse Toky pour le poste de développeur, et écrit à Hasina pour organiser son arrivée.</w:t>
      </w:r>
    </w:p>
    <w:p>
      <w:r>
        <w:rPr>
          <w:i/>
          <w:sz w:val="22"/>
        </w:rPr>
        <w:t>Acteurs : Ingenosya.</w:t>
      </w:r>
    </w:p>
    <w:p>
      <w:pPr>
        <w:keepNext/>
        <w:jc w:val="center"/>
      </w:pPr>
      <w:r>
        <w:drawing>
          <wp:inline xmlns:a="http://schemas.openxmlformats.org/drawingml/2006/main" xmlns:pic="http://schemas.openxmlformats.org/drawingml/2006/picture">
            <wp:extent cx="5400000" cy="4610000"/>
            <wp:docPr id="53" name="Picture 53"/>
            <wp:cNvGraphicFramePr>
              <a:graphicFrameLocks noChangeAspect="1"/>
            </wp:cNvGraphicFramePr>
            <a:graphic>
              <a:graphicData uri="http://schemas.openxmlformats.org/drawingml/2006/picture">
                <pic:pic>
                  <pic:nvPicPr>
                    <pic:cNvPr id="0" name="053-a13.png"/>
                    <pic:cNvPicPr/>
                  </pic:nvPicPr>
                  <pic:blipFill>
                    <a:blip r:embed="rId61"/>
                    <a:stretch>
                      <a:fillRect/>
                    </a:stretch>
                  </pic:blipFill>
                  <pic:spPr>
                    <a:xfrm>
                      <a:off x="0" y="0"/>
                      <a:ext cx="5400000" cy="4610000"/>
                    </a:xfrm>
                    <a:prstGeom prst="rect"/>
                  </pic:spPr>
                </pic:pic>
              </a:graphicData>
            </a:graphic>
          </wp:inline>
        </w:drawing>
      </w:r>
    </w:p>
    <w:p>
      <w:pPr>
        <w:spacing w:before="0" w:after="240"/>
      </w:pPr>
      <w:r>
        <w:rPr>
          <w:color w:val="565B6E"/>
          <w:sz w:val="18"/>
        </w:rPr>
        <w:t>Figure 3.53 : Les candidatures reçues</w:t>
      </w:r>
    </w:p>
    <w:p>
      <w:r>
        <w:rPr>
          <w:sz w:val="22"/>
        </w:rPr>
        <w:t>Chaque candidature réunit ce dont le recruteur a besoin pour trancher : l'offre visée, la note au questionnaire, le CV et la lettre à consulter, le profil complet. Les documents ne sont accessibles qu'aux personnes autorisées : leur adresse n'est jamais publique.</w:t>
      </w:r>
    </w:p>
    <w:p>
      <w:pPr>
        <w:keepNext/>
        <w:jc w:val="center"/>
      </w:pPr>
      <w:r>
        <w:drawing>
          <wp:inline xmlns:a="http://schemas.openxmlformats.org/drawingml/2006/main" xmlns:pic="http://schemas.openxmlformats.org/drawingml/2006/picture">
            <wp:extent cx="5400000" cy="4512500"/>
            <wp:docPr id="54" name="Picture 54"/>
            <wp:cNvGraphicFramePr>
              <a:graphicFrameLocks noChangeAspect="1"/>
            </wp:cNvGraphicFramePr>
            <a:graphic>
              <a:graphicData uri="http://schemas.openxmlformats.org/drawingml/2006/picture">
                <pic:pic>
                  <pic:nvPicPr>
                    <pic:cNvPr id="0" name="054-a13.png"/>
                    <pic:cNvPicPr/>
                  </pic:nvPicPr>
                  <pic:blipFill>
                    <a:blip r:embed="rId62"/>
                    <a:stretch>
                      <a:fillRect/>
                    </a:stretch>
                  </pic:blipFill>
                  <pic:spPr>
                    <a:xfrm>
                      <a:off x="0" y="0"/>
                      <a:ext cx="5400000" cy="4512500"/>
                    </a:xfrm>
                    <a:prstGeom prst="rect"/>
                  </pic:spPr>
                </pic:pic>
              </a:graphicData>
            </a:graphic>
          </wp:inline>
        </w:drawing>
      </w:r>
    </w:p>
    <w:p>
      <w:pPr>
        <w:spacing w:before="0" w:after="240"/>
      </w:pPr>
      <w:r>
        <w:rPr>
          <w:color w:val="565B6E"/>
          <w:sz w:val="18"/>
        </w:rPr>
        <w:t>Figure 3.54 : Hasina recrutée, Toky refusé</w:t>
      </w:r>
    </w:p>
    <w:p>
      <w:r>
        <w:rPr>
          <w:sz w:val="22"/>
        </w:rPr>
        <w:t>Chaque décision a été confirmée avant d'être enregistrée, puis notifiée à l'étudiant par la messagerie interne. La candidature de Toky à l'offre d'analyste reste en attente : un refus ne vaut que pour l'offre concernée.</w:t>
      </w:r>
    </w:p>
    <w:p>
      <w:pPr>
        <w:keepNext/>
        <w:jc w:val="center"/>
      </w:pPr>
      <w:r>
        <w:drawing>
          <wp:inline xmlns:a="http://schemas.openxmlformats.org/drawingml/2006/main" xmlns:pic="http://schemas.openxmlformats.org/drawingml/2006/picture">
            <wp:extent cx="5400000" cy="3375000"/>
            <wp:docPr id="55" name="Picture 55"/>
            <wp:cNvGraphicFramePr>
              <a:graphicFrameLocks noChangeAspect="1"/>
            </wp:cNvGraphicFramePr>
            <a:graphic>
              <a:graphicData uri="http://schemas.openxmlformats.org/drawingml/2006/picture">
                <pic:pic>
                  <pic:nvPicPr>
                    <pic:cNvPr id="0" name="055-a13.png"/>
                    <pic:cNvPicPr/>
                  </pic:nvPicPr>
                  <pic:blipFill>
                    <a:blip r:embed="rId63"/>
                    <a:stretch>
                      <a:fillRect/>
                    </a:stretch>
                  </pic:blipFill>
                  <pic:spPr>
                    <a:xfrm>
                      <a:off x="0" y="0"/>
                      <a:ext cx="5400000" cy="3375000"/>
                    </a:xfrm>
                    <a:prstGeom prst="rect"/>
                  </pic:spPr>
                </pic:pic>
              </a:graphicData>
            </a:graphic>
          </wp:inline>
        </w:drawing>
      </w:r>
    </w:p>
    <w:p>
      <w:pPr>
        <w:spacing w:before="0" w:after="240"/>
      </w:pPr>
      <w:r>
        <w:rPr>
          <w:color w:val="565B6E"/>
          <w:sz w:val="18"/>
        </w:rPr>
        <w:t>Figure 3.55 : Un message de l'entreprise à l'étudiante</w:t>
      </w:r>
    </w:p>
    <w:p>
      <w:r>
        <w:rPr>
          <w:sz w:val="22"/>
        </w:rPr>
        <w:t>Le bouton « Envoyer un message » ouvre directement la conversation avec la candidate. Toute la communication passe par la plateforme : ni l'entreprise ni l'étudiante n'ont à divulguer leur adresse ou leur téléphone.</w:t>
      </w:r>
    </w:p>
    <w:p>
      <w:pPr>
        <w:pStyle w:val="Heading3"/>
      </w:pPr>
      <w:r>
        <w:t>3.3.14  Les étudiants apprennent la décision</w:t>
      </w:r>
    </w:p>
    <w:p>
      <w:r>
        <w:rPr>
          <w:sz w:val="22"/>
        </w:rPr>
        <w:t>Hasina et Toky découvrent l'issue de leurs candidatures, dans leur suivi comme dans leur messagerie. Hasina répond à Ingenosya.</w:t>
      </w:r>
    </w:p>
    <w:p>
      <w:r>
        <w:rPr>
          <w:i/>
          <w:sz w:val="22"/>
        </w:rPr>
        <w:t>Acteurs : Hasina Rakotoarisoa, Toky Andriamahefa.</w:t>
      </w:r>
    </w:p>
    <w:p>
      <w:pPr>
        <w:keepNext/>
        <w:jc w:val="center"/>
      </w:pPr>
      <w:r>
        <w:drawing>
          <wp:inline xmlns:a="http://schemas.openxmlformats.org/drawingml/2006/main" xmlns:pic="http://schemas.openxmlformats.org/drawingml/2006/picture">
            <wp:extent cx="5400000" cy="3375000"/>
            <wp:docPr id="56" name="Picture 56"/>
            <wp:cNvGraphicFramePr>
              <a:graphicFrameLocks noChangeAspect="1"/>
            </wp:cNvGraphicFramePr>
            <a:graphic>
              <a:graphicData uri="http://schemas.openxmlformats.org/drawingml/2006/picture">
                <pic:pic>
                  <pic:nvPicPr>
                    <pic:cNvPr id="0" name="056-a14.png"/>
                    <pic:cNvPicPr/>
                  </pic:nvPicPr>
                  <pic:blipFill>
                    <a:blip r:embed="rId64"/>
                    <a:stretch>
                      <a:fillRect/>
                    </a:stretch>
                  </pic:blipFill>
                  <pic:spPr>
                    <a:xfrm>
                      <a:off x="0" y="0"/>
                      <a:ext cx="5400000" cy="3375000"/>
                    </a:xfrm>
                    <a:prstGeom prst="rect"/>
                  </pic:spPr>
                </pic:pic>
              </a:graphicData>
            </a:graphic>
          </wp:inline>
        </w:drawing>
      </w:r>
    </w:p>
    <w:p>
      <w:pPr>
        <w:spacing w:before="0" w:after="240"/>
      </w:pPr>
      <w:r>
        <w:rPr>
          <w:color w:val="565B6E"/>
          <w:sz w:val="18"/>
        </w:rPr>
        <w:t>Figure 3.56 : La candidature acceptée</w:t>
      </w:r>
    </w:p>
    <w:p>
      <w:r>
        <w:rPr>
          <w:sz w:val="22"/>
        </w:rPr>
        <w:t>La candidature d'Hasina est passée à « Recruté ».</w:t>
      </w:r>
    </w:p>
    <w:p>
      <w:pPr>
        <w:keepNext/>
        <w:jc w:val="center"/>
      </w:pPr>
      <w:r>
        <w:drawing>
          <wp:inline xmlns:a="http://schemas.openxmlformats.org/drawingml/2006/main" xmlns:pic="http://schemas.openxmlformats.org/drawingml/2006/picture">
            <wp:extent cx="5400000" cy="3375000"/>
            <wp:docPr id="57" name="Picture 57"/>
            <wp:cNvGraphicFramePr>
              <a:graphicFrameLocks noChangeAspect="1"/>
            </wp:cNvGraphicFramePr>
            <a:graphic>
              <a:graphicData uri="http://schemas.openxmlformats.org/drawingml/2006/picture">
                <pic:pic>
                  <pic:nvPicPr>
                    <pic:cNvPr id="0" name="057-a14.png"/>
                    <pic:cNvPicPr/>
                  </pic:nvPicPr>
                  <pic:blipFill>
                    <a:blip r:embed="rId65"/>
                    <a:stretch>
                      <a:fillRect/>
                    </a:stretch>
                  </pic:blipFill>
                  <pic:spPr>
                    <a:xfrm>
                      <a:off x="0" y="0"/>
                      <a:ext cx="5400000" cy="3375000"/>
                    </a:xfrm>
                    <a:prstGeom prst="rect"/>
                  </pic:spPr>
                </pic:pic>
              </a:graphicData>
            </a:graphic>
          </wp:inline>
        </w:drawing>
      </w:r>
    </w:p>
    <w:p>
      <w:pPr>
        <w:spacing w:before="0" w:after="240"/>
      </w:pPr>
      <w:r>
        <w:rPr>
          <w:color w:val="565B6E"/>
          <w:sz w:val="18"/>
        </w:rPr>
        <w:t>Figure 3.57 : La conversation avec le recruteur</w:t>
      </w:r>
    </w:p>
    <w:p>
      <w:r>
        <w:rPr>
          <w:sz w:val="22"/>
        </w:rPr>
        <w:t>La conversation réunit la notification automatique du recrutement et le message d'Ingenosya, auquel Hasina vient de répondre. Les messages sont regroupés par jour ; le message envoyé s'affiche sans attendre la réponse du serveur, ce qui évite l'impression d'un envoi bloqué sur une connexion lente.</w:t>
      </w:r>
    </w:p>
    <w:p>
      <w:pPr>
        <w:keepNext/>
        <w:jc w:val="center"/>
      </w:pPr>
      <w:r>
        <w:drawing>
          <wp:inline xmlns:a="http://schemas.openxmlformats.org/drawingml/2006/main" xmlns:pic="http://schemas.openxmlformats.org/drawingml/2006/picture">
            <wp:extent cx="5400000" cy="3375000"/>
            <wp:docPr id="58" name="Picture 58"/>
            <wp:cNvGraphicFramePr>
              <a:graphicFrameLocks noChangeAspect="1"/>
            </wp:cNvGraphicFramePr>
            <a:graphic>
              <a:graphicData uri="http://schemas.openxmlformats.org/drawingml/2006/picture">
                <pic:pic>
                  <pic:nvPicPr>
                    <pic:cNvPr id="0" name="058-a14.png"/>
                    <pic:cNvPicPr/>
                  </pic:nvPicPr>
                  <pic:blipFill>
                    <a:blip r:embed="rId66"/>
                    <a:stretch>
                      <a:fillRect/>
                    </a:stretch>
                  </pic:blipFill>
                  <pic:spPr>
                    <a:xfrm>
                      <a:off x="0" y="0"/>
                      <a:ext cx="5400000" cy="3375000"/>
                    </a:xfrm>
                    <a:prstGeom prst="rect"/>
                  </pic:spPr>
                </pic:pic>
              </a:graphicData>
            </a:graphic>
          </wp:inline>
        </w:drawing>
      </w:r>
    </w:p>
    <w:p>
      <w:pPr>
        <w:spacing w:before="0" w:after="240"/>
      </w:pPr>
      <w:r>
        <w:rPr>
          <w:color w:val="565B6E"/>
          <w:sz w:val="18"/>
        </w:rPr>
        <w:t>Figure 3.58 : Un refus, et une candidature toujours en cours</w:t>
      </w:r>
    </w:p>
    <w:p>
      <w:r>
        <w:rPr>
          <w:sz w:val="22"/>
        </w:rPr>
        <w:t>Toky voit son refus pour le poste de développeur, et sa candidature à l'offre d'analyste toujours en attente.</w:t>
      </w:r>
    </w:p>
    <w:p>
      <w:pPr>
        <w:pStyle w:val="Heading3"/>
      </w:pPr>
      <w:r>
        <w:t>3.3.15  L'université présente une cohorte aux entreprises</w:t>
      </w:r>
    </w:p>
    <w:p>
      <w:r>
        <w:rPr>
          <w:sz w:val="22"/>
        </w:rPr>
        <w:t>Le sens habituel s'inverse : ce n'est plus l'entreprise qui publie une offre, mais l'établissement qui annonce qu'une promotion cherche des stages. Telma découvre l'annonce et consulte les profils de la promotion.</w:t>
      </w:r>
    </w:p>
    <w:p>
      <w:r>
        <w:rPr>
          <w:i/>
          <w:sz w:val="22"/>
        </w:rPr>
        <w:t>Acteurs : ENI, Telma.</w:t>
      </w:r>
    </w:p>
    <w:p>
      <w:pPr>
        <w:keepNext/>
        <w:jc w:val="center"/>
      </w:pPr>
      <w:r>
        <w:drawing>
          <wp:inline xmlns:a="http://schemas.openxmlformats.org/drawingml/2006/main" xmlns:pic="http://schemas.openxmlformats.org/drawingml/2006/picture">
            <wp:extent cx="5400000" cy="4905000"/>
            <wp:docPr id="59" name="Picture 59"/>
            <wp:cNvGraphicFramePr>
              <a:graphicFrameLocks noChangeAspect="1"/>
            </wp:cNvGraphicFramePr>
            <a:graphic>
              <a:graphicData uri="http://schemas.openxmlformats.org/drawingml/2006/picture">
                <pic:pic>
                  <pic:nvPicPr>
                    <pic:cNvPr id="0" name="059-a15.png"/>
                    <pic:cNvPicPr/>
                  </pic:nvPicPr>
                  <pic:blipFill>
                    <a:blip r:embed="rId67"/>
                    <a:stretch>
                      <a:fillRect/>
                    </a:stretch>
                  </pic:blipFill>
                  <pic:spPr>
                    <a:xfrm>
                      <a:off x="0" y="0"/>
                      <a:ext cx="5400000" cy="4905000"/>
                    </a:xfrm>
                    <a:prstGeom prst="rect"/>
                  </pic:spPr>
                </pic:pic>
              </a:graphicData>
            </a:graphic>
          </wp:inline>
        </w:drawing>
      </w:r>
    </w:p>
    <w:p>
      <w:pPr>
        <w:spacing w:before="0" w:after="240"/>
      </w:pPr>
      <w:r>
        <w:rPr>
          <w:color w:val="565B6E"/>
          <w:sz w:val="18"/>
        </w:rPr>
        <w:t>Figure 3.59 : La rédaction d'une annonce de cohorte</w:t>
      </w:r>
    </w:p>
    <w:p>
      <w:r>
        <w:rPr>
          <w:sz w:val="22"/>
        </w:rPr>
        <w:t>L'annonce désigne une promotion réelle plutôt qu'une liste de noms saisie à la main. L'entreprise intéressée verra ainsi de véritables profils (compétences, CV, possibilité de contact) et non une simple description.</w:t>
      </w:r>
    </w:p>
    <w:p>
      <w:pPr>
        <w:keepNext/>
        <w:jc w:val="center"/>
      </w:pPr>
      <w:r>
        <w:drawing>
          <wp:inline xmlns:a="http://schemas.openxmlformats.org/drawingml/2006/main" xmlns:pic="http://schemas.openxmlformats.org/drawingml/2006/picture">
            <wp:extent cx="5400000" cy="3375000"/>
            <wp:docPr id="60" name="Picture 60"/>
            <wp:cNvGraphicFramePr>
              <a:graphicFrameLocks noChangeAspect="1"/>
            </wp:cNvGraphicFramePr>
            <a:graphic>
              <a:graphicData uri="http://schemas.openxmlformats.org/drawingml/2006/picture">
                <pic:pic>
                  <pic:nvPicPr>
                    <pic:cNvPr id="0" name="060-a15.png"/>
                    <pic:cNvPicPr/>
                  </pic:nvPicPr>
                  <pic:blipFill>
                    <a:blip r:embed="rId68"/>
                    <a:stretch>
                      <a:fillRect/>
                    </a:stretch>
                  </pic:blipFill>
                  <pic:spPr>
                    <a:xfrm>
                      <a:off x="0" y="0"/>
                      <a:ext cx="5400000" cy="3375000"/>
                    </a:xfrm>
                    <a:prstGeom prst="rect"/>
                  </pic:spPr>
                </pic:pic>
              </a:graphicData>
            </a:graphic>
          </wp:inline>
        </w:drawing>
      </w:r>
    </w:p>
    <w:p>
      <w:pPr>
        <w:spacing w:before="0" w:after="240"/>
      </w:pPr>
      <w:r>
        <w:rPr>
          <w:color w:val="565B6E"/>
          <w:sz w:val="18"/>
        </w:rPr>
        <w:t>Figure 3.60 : Les annonces de cohorte de l'établissement</w:t>
      </w:r>
    </w:p>
    <w:p>
      <w:r>
        <w:rPr>
          <w:sz w:val="22"/>
        </w:rPr>
        <w:t>L'annonce est publiée. L'établissement suit ici ses annonces, leur date limite et leur état.</w:t>
      </w:r>
    </w:p>
    <w:p>
      <w:pPr>
        <w:keepNext/>
        <w:jc w:val="center"/>
      </w:pPr>
      <w:r>
        <w:drawing>
          <wp:inline xmlns:a="http://schemas.openxmlformats.org/drawingml/2006/main" xmlns:pic="http://schemas.openxmlformats.org/drawingml/2006/picture">
            <wp:extent cx="5400000" cy="3375000"/>
            <wp:docPr id="61" name="Picture 61"/>
            <wp:cNvGraphicFramePr>
              <a:graphicFrameLocks noChangeAspect="1"/>
            </wp:cNvGraphicFramePr>
            <a:graphic>
              <a:graphicData uri="http://schemas.openxmlformats.org/drawingml/2006/picture">
                <pic:pic>
                  <pic:nvPicPr>
                    <pic:cNvPr id="0" name="061-a15.png"/>
                    <pic:cNvPicPr/>
                  </pic:nvPicPr>
                  <pic:blipFill>
                    <a:blip r:embed="rId69"/>
                    <a:stretch>
                      <a:fillRect/>
                    </a:stretch>
                  </pic:blipFill>
                  <pic:spPr>
                    <a:xfrm>
                      <a:off x="0" y="0"/>
                      <a:ext cx="5400000" cy="3375000"/>
                    </a:xfrm>
                    <a:prstGeom prst="rect"/>
                  </pic:spPr>
                </pic:pic>
              </a:graphicData>
            </a:graphic>
          </wp:inline>
        </w:drawing>
      </w:r>
    </w:p>
    <w:p>
      <w:pPr>
        <w:spacing w:before="0" w:after="240"/>
      </w:pPr>
      <w:r>
        <w:rPr>
          <w:color w:val="565B6E"/>
          <w:sz w:val="18"/>
        </w:rPr>
        <w:t>Figure 3.61 : La recherche de candidats par une entreprise</w:t>
      </w:r>
    </w:p>
    <w:p>
      <w:r>
        <w:rPr>
          <w:sz w:val="22"/>
        </w:rPr>
        <w:t>Telma peut parcourir les profils des étudiants et les filtrer par nom, filière, spécialisation ou université. Un second onglet réunit les annonces publiées par les établissements.</w:t>
      </w:r>
    </w:p>
    <w:p>
      <w:pPr>
        <w:keepNext/>
        <w:jc w:val="center"/>
      </w:pPr>
      <w:r>
        <w:drawing>
          <wp:inline xmlns:a="http://schemas.openxmlformats.org/drawingml/2006/main" xmlns:pic="http://schemas.openxmlformats.org/drawingml/2006/picture">
            <wp:extent cx="5400000" cy="3375000"/>
            <wp:docPr id="62" name="Picture 62"/>
            <wp:cNvGraphicFramePr>
              <a:graphicFrameLocks noChangeAspect="1"/>
            </wp:cNvGraphicFramePr>
            <a:graphic>
              <a:graphicData uri="http://schemas.openxmlformats.org/drawingml/2006/picture">
                <pic:pic>
                  <pic:nvPicPr>
                    <pic:cNvPr id="0" name="062-a15.png"/>
                    <pic:cNvPicPr/>
                  </pic:nvPicPr>
                  <pic:blipFill>
                    <a:blip r:embed="rId70"/>
                    <a:stretch>
                      <a:fillRect/>
                    </a:stretch>
                  </pic:blipFill>
                  <pic:spPr>
                    <a:xfrm>
                      <a:off x="0" y="0"/>
                      <a:ext cx="5400000" cy="3375000"/>
                    </a:xfrm>
                    <a:prstGeom prst="rect"/>
                  </pic:spPr>
                </pic:pic>
              </a:graphicData>
            </a:graphic>
          </wp:inline>
        </w:drawing>
      </w:r>
    </w:p>
    <w:p>
      <w:pPr>
        <w:spacing w:before="0" w:after="240"/>
      </w:pPr>
      <w:r>
        <w:rPr>
          <w:color w:val="565B6E"/>
          <w:sz w:val="18"/>
        </w:rPr>
        <w:t>Figure 3.62 : Les annonces de cohorte, vues par une entreprise</w:t>
      </w:r>
    </w:p>
    <w:p>
      <w:r>
        <w:rPr>
          <w:sz w:val="22"/>
        </w:rPr>
        <w:t>Telma trouve l'annonce de l'ENI, avec la filière, le niveau, la période et la ville souhaitées.</w:t>
      </w:r>
    </w:p>
    <w:p>
      <w:pPr>
        <w:keepNext/>
        <w:jc w:val="center"/>
      </w:pPr>
      <w:r>
        <w:drawing>
          <wp:inline xmlns:a="http://schemas.openxmlformats.org/drawingml/2006/main" xmlns:pic="http://schemas.openxmlformats.org/drawingml/2006/picture">
            <wp:extent cx="5400000" cy="3375000"/>
            <wp:docPr id="63" name="Picture 63"/>
            <wp:cNvGraphicFramePr>
              <a:graphicFrameLocks noChangeAspect="1"/>
            </wp:cNvGraphicFramePr>
            <a:graphic>
              <a:graphicData uri="http://schemas.openxmlformats.org/drawingml/2006/picture">
                <pic:pic>
                  <pic:nvPicPr>
                    <pic:cNvPr id="0" name="063-a15.png"/>
                    <pic:cNvPicPr/>
                  </pic:nvPicPr>
                  <pic:blipFill>
                    <a:blip r:embed="rId71"/>
                    <a:stretch>
                      <a:fillRect/>
                    </a:stretch>
                  </pic:blipFill>
                  <pic:spPr>
                    <a:xfrm>
                      <a:off x="0" y="0"/>
                      <a:ext cx="5400000" cy="3375000"/>
                    </a:xfrm>
                    <a:prstGeom prst="rect"/>
                  </pic:spPr>
                </pic:pic>
              </a:graphicData>
            </a:graphic>
          </wp:inline>
        </w:drawing>
      </w:r>
    </w:p>
    <w:p>
      <w:pPr>
        <w:spacing w:before="0" w:after="240"/>
      </w:pPr>
      <w:r>
        <w:rPr>
          <w:color w:val="565B6E"/>
          <w:sz w:val="18"/>
        </w:rPr>
        <w:t>Figure 3.63 : Le détail d'une annonce et les profils de la promotion</w:t>
      </w:r>
    </w:p>
    <w:p>
      <w:r>
        <w:rPr>
          <w:sz w:val="22"/>
        </w:rPr>
        <w:t>L'annonce ouvre sur les étudiants de la promotion concernée. L'entreprise peut consulter chaque profil et engager la conversation avec l'établissement par la messagerie.</w:t>
      </w:r>
    </w:p>
    <w:p>
      <w:pPr>
        <w:pStyle w:val="Heading3"/>
      </w:pPr>
      <w:r>
        <w:t>3.3.16  Le cycle de vie des étudiants</w:t>
      </w:r>
    </w:p>
    <w:p>
      <w:r>
        <w:rPr>
          <w:sz w:val="22"/>
        </w:rPr>
        <w:t>Niaina Randriambola quitte l'ENI en cours d'année pour se réorienter. L'établissement met fin à son rattachement, sans effacer son compte.</w:t>
      </w:r>
    </w:p>
    <w:p>
      <w:r>
        <w:rPr>
          <w:i/>
          <w:sz w:val="22"/>
        </w:rPr>
        <w:t>Acteurs : ENI.</w:t>
      </w:r>
    </w:p>
    <w:p>
      <w:pPr>
        <w:keepNext/>
        <w:jc w:val="center"/>
      </w:pPr>
      <w:r>
        <w:drawing>
          <wp:inline xmlns:a="http://schemas.openxmlformats.org/drawingml/2006/main" xmlns:pic="http://schemas.openxmlformats.org/drawingml/2006/picture">
            <wp:extent cx="5400000" cy="3375000"/>
            <wp:docPr id="64" name="Picture 64"/>
            <wp:cNvGraphicFramePr>
              <a:graphicFrameLocks noChangeAspect="1"/>
            </wp:cNvGraphicFramePr>
            <a:graphic>
              <a:graphicData uri="http://schemas.openxmlformats.org/drawingml/2006/picture">
                <pic:pic>
                  <pic:nvPicPr>
                    <pic:cNvPr id="0" name="064-a16.png"/>
                    <pic:cNvPicPr/>
                  </pic:nvPicPr>
                  <pic:blipFill>
                    <a:blip r:embed="rId72"/>
                    <a:stretch>
                      <a:fillRect/>
                    </a:stretch>
                  </pic:blipFill>
                  <pic:spPr>
                    <a:xfrm>
                      <a:off x="0" y="0"/>
                      <a:ext cx="5400000" cy="3375000"/>
                    </a:xfrm>
                    <a:prstGeom prst="rect"/>
                  </pic:spPr>
                </pic:pic>
              </a:graphicData>
            </a:graphic>
          </wp:inline>
        </w:drawing>
      </w:r>
    </w:p>
    <w:p>
      <w:pPr>
        <w:spacing w:before="0" w:after="240"/>
      </w:pPr>
      <w:r>
        <w:rPr>
          <w:color w:val="565B6E"/>
          <w:sz w:val="18"/>
        </w:rPr>
        <w:t>Figure 3.64 : La fin d'un rattachement</w:t>
      </w:r>
    </w:p>
    <w:p>
      <w:r>
        <w:rPr>
          <w:sz w:val="22"/>
        </w:rPr>
        <w:t>L'action porte sur une promotion, l'unité de gestion de l'établissement, mais chacun peut être décoché : seul Niaina est concerné. Le motif est facultatif. Le message rappelle la conséquence : le rattachement prend fin, le compte reste actif et l'étudiant pourra rejoindre un autre établissement.</w:t>
      </w:r>
    </w:p>
    <w:p>
      <w:pPr>
        <w:keepNext/>
        <w:jc w:val="center"/>
      </w:pPr>
      <w:r>
        <w:drawing>
          <wp:inline xmlns:a="http://schemas.openxmlformats.org/drawingml/2006/main" xmlns:pic="http://schemas.openxmlformats.org/drawingml/2006/picture">
            <wp:extent cx="5400000" cy="3375000"/>
            <wp:docPr id="65" name="Picture 65"/>
            <wp:cNvGraphicFramePr>
              <a:graphicFrameLocks noChangeAspect="1"/>
            </wp:cNvGraphicFramePr>
            <a:graphic>
              <a:graphicData uri="http://schemas.openxmlformats.org/drawingml/2006/picture">
                <pic:pic>
                  <pic:nvPicPr>
                    <pic:cNvPr id="0" name="065-a16.png"/>
                    <pic:cNvPicPr/>
                  </pic:nvPicPr>
                  <pic:blipFill>
                    <a:blip r:embed="rId73"/>
                    <a:stretch>
                      <a:fillRect/>
                    </a:stretch>
                  </pic:blipFill>
                  <pic:spPr>
                    <a:xfrm>
                      <a:off x="0" y="0"/>
                      <a:ext cx="5400000" cy="3375000"/>
                    </a:xfrm>
                    <a:prstGeom prst="rect"/>
                  </pic:spPr>
                </pic:pic>
              </a:graphicData>
            </a:graphic>
          </wp:inline>
        </w:drawing>
      </w:r>
    </w:p>
    <w:p>
      <w:pPr>
        <w:spacing w:before="0" w:after="240"/>
      </w:pPr>
      <w:r>
        <w:rPr>
          <w:color w:val="565B6E"/>
          <w:sz w:val="18"/>
        </w:rPr>
        <w:t>Figure 3.65 : Les anciens étudiants</w:t>
      </w:r>
    </w:p>
    <w:p>
      <w:r>
        <w:rPr>
          <w:sz w:val="22"/>
        </w:rPr>
        <w:t>Niaina figure désormais parmi les anciens étudiants, séparés des actifs. Une promotion diplômée s'y retrouverait de la même façon, ses membres continuant, eux, de recevoir des recommandations.</w:t>
      </w:r>
    </w:p>
    <w:p>
      <w:pPr>
        <w:pStyle w:val="Heading3"/>
      </w:pPr>
      <w:r>
        <w:t>3.3.17  Les vitrines de la plateforme</w:t>
      </w:r>
    </w:p>
    <w:p>
      <w:r>
        <w:rPr>
          <w:sz w:val="22"/>
        </w:rPr>
        <w:t>Chaque organisation dispose d'une fiche publique, et chaque étudiant d'un profil consultable par ceux qui ont à en connaître. Ces pages montrent ce qui est rendu visible, et ce qui ne l'est pas.</w:t>
      </w:r>
    </w:p>
    <w:p>
      <w:r>
        <w:rPr>
          <w:i/>
          <w:sz w:val="22"/>
        </w:rPr>
        <w:t>Acteurs : Hasina Rakotoarisoa, Ingenosya, Telma.</w:t>
      </w:r>
    </w:p>
    <w:p>
      <w:pPr>
        <w:keepNext/>
        <w:jc w:val="center"/>
      </w:pPr>
      <w:r>
        <w:drawing>
          <wp:inline xmlns:a="http://schemas.openxmlformats.org/drawingml/2006/main" xmlns:pic="http://schemas.openxmlformats.org/drawingml/2006/picture">
            <wp:extent cx="5400000" cy="3375000"/>
            <wp:docPr id="66" name="Picture 66"/>
            <wp:cNvGraphicFramePr>
              <a:graphicFrameLocks noChangeAspect="1"/>
            </wp:cNvGraphicFramePr>
            <a:graphic>
              <a:graphicData uri="http://schemas.openxmlformats.org/drawingml/2006/picture">
                <pic:pic>
                  <pic:nvPicPr>
                    <pic:cNvPr id="0" name="066-a17.png"/>
                    <pic:cNvPicPr/>
                  </pic:nvPicPr>
                  <pic:blipFill>
                    <a:blip r:embed="rId74"/>
                    <a:stretch>
                      <a:fillRect/>
                    </a:stretch>
                  </pic:blipFill>
                  <pic:spPr>
                    <a:xfrm>
                      <a:off x="0" y="0"/>
                      <a:ext cx="5400000" cy="3375000"/>
                    </a:xfrm>
                    <a:prstGeom prst="rect"/>
                  </pic:spPr>
                </pic:pic>
              </a:graphicData>
            </a:graphic>
          </wp:inline>
        </w:drawing>
      </w:r>
    </w:p>
    <w:p>
      <w:pPr>
        <w:spacing w:before="0" w:after="240"/>
      </w:pPr>
      <w:r>
        <w:rPr>
          <w:color w:val="565B6E"/>
          <w:sz w:val="18"/>
        </w:rPr>
        <w:t>Figure 3.66 : La recherche d'entreprises par un étudiant</w:t>
      </w:r>
    </w:p>
    <w:p>
      <w:r>
        <w:rPr>
          <w:sz w:val="22"/>
        </w:rPr>
        <w:t>L'étudiant peut partir des entreprises plutôt que des offres, et découvrir celles de son secteur, leur badge de vérification et leurs offres en cours.</w:t>
      </w:r>
    </w:p>
    <w:p>
      <w:pPr>
        <w:keepNext/>
        <w:jc w:val="center"/>
      </w:pPr>
      <w:r>
        <w:drawing>
          <wp:inline xmlns:a="http://schemas.openxmlformats.org/drawingml/2006/main" xmlns:pic="http://schemas.openxmlformats.org/drawingml/2006/picture">
            <wp:extent cx="5400000" cy="4437500"/>
            <wp:docPr id="67" name="Picture 67"/>
            <wp:cNvGraphicFramePr>
              <a:graphicFrameLocks noChangeAspect="1"/>
            </wp:cNvGraphicFramePr>
            <a:graphic>
              <a:graphicData uri="http://schemas.openxmlformats.org/drawingml/2006/picture">
                <pic:pic>
                  <pic:nvPicPr>
                    <pic:cNvPr id="0" name="067-a17.png"/>
                    <pic:cNvPicPr/>
                  </pic:nvPicPr>
                  <pic:blipFill>
                    <a:blip r:embed="rId75"/>
                    <a:stretch>
                      <a:fillRect/>
                    </a:stretch>
                  </pic:blipFill>
                  <pic:spPr>
                    <a:xfrm>
                      <a:off x="0" y="0"/>
                      <a:ext cx="5400000" cy="4437500"/>
                    </a:xfrm>
                    <a:prstGeom prst="rect"/>
                  </pic:spPr>
                </pic:pic>
              </a:graphicData>
            </a:graphic>
          </wp:inline>
        </w:drawing>
      </w:r>
    </w:p>
    <w:p>
      <w:pPr>
        <w:spacing w:before="0" w:after="240"/>
      </w:pPr>
      <w:r>
        <w:rPr>
          <w:color w:val="565B6E"/>
          <w:sz w:val="18"/>
        </w:rPr>
        <w:t>Figure 3.67 : La fiche publique d'une entreprise</w:t>
      </w:r>
    </w:p>
    <w:p>
      <w:r>
        <w:rPr>
          <w:sz w:val="22"/>
        </w:rPr>
        <w:t>Identité, secteur, présentation et offres en cours. La fiche ne divulgue ni adresse électronique ni téléphone : le contact passe par la messagerie interne.</w:t>
      </w:r>
    </w:p>
    <w:p>
      <w:pPr>
        <w:keepNext/>
        <w:jc w:val="center"/>
      </w:pPr>
      <w:r>
        <w:drawing>
          <wp:inline xmlns:a="http://schemas.openxmlformats.org/drawingml/2006/main" xmlns:pic="http://schemas.openxmlformats.org/drawingml/2006/picture">
            <wp:extent cx="5400000" cy="4017500"/>
            <wp:docPr id="68" name="Picture 68"/>
            <wp:cNvGraphicFramePr>
              <a:graphicFrameLocks noChangeAspect="1"/>
            </wp:cNvGraphicFramePr>
            <a:graphic>
              <a:graphicData uri="http://schemas.openxmlformats.org/drawingml/2006/picture">
                <pic:pic>
                  <pic:nvPicPr>
                    <pic:cNvPr id="0" name="068-a17.png"/>
                    <pic:cNvPicPr/>
                  </pic:nvPicPr>
                  <pic:blipFill>
                    <a:blip r:embed="rId76"/>
                    <a:stretch>
                      <a:fillRect/>
                    </a:stretch>
                  </pic:blipFill>
                  <pic:spPr>
                    <a:xfrm>
                      <a:off x="0" y="0"/>
                      <a:ext cx="5400000" cy="4017500"/>
                    </a:xfrm>
                    <a:prstGeom prst="rect"/>
                  </pic:spPr>
                </pic:pic>
              </a:graphicData>
            </a:graphic>
          </wp:inline>
        </w:drawing>
      </w:r>
    </w:p>
    <w:p>
      <w:pPr>
        <w:spacing w:before="0" w:after="240"/>
      </w:pPr>
      <w:r>
        <w:rPr>
          <w:color w:val="565B6E"/>
          <w:sz w:val="18"/>
        </w:rPr>
        <w:t>Figure 3.68 : La fiche publique d'un établissement</w:t>
      </w:r>
    </w:p>
    <w:p>
      <w:r>
        <w:rPr>
          <w:sz w:val="22"/>
        </w:rPr>
        <w:t>La fiche de l'ENI, telle que la voit Telma : coordonnées de l'établissement, badge de vérification, filières enseignées.</w:t>
      </w:r>
    </w:p>
    <w:p>
      <w:pPr>
        <w:keepNext/>
        <w:jc w:val="center"/>
      </w:pPr>
      <w:r>
        <w:drawing>
          <wp:inline xmlns:a="http://schemas.openxmlformats.org/drawingml/2006/main" xmlns:pic="http://schemas.openxmlformats.org/drawingml/2006/picture">
            <wp:extent cx="5400000" cy="5655000"/>
            <wp:docPr id="69" name="Picture 69"/>
            <wp:cNvGraphicFramePr>
              <a:graphicFrameLocks noChangeAspect="1"/>
            </wp:cNvGraphicFramePr>
            <a:graphic>
              <a:graphicData uri="http://schemas.openxmlformats.org/drawingml/2006/picture">
                <pic:pic>
                  <pic:nvPicPr>
                    <pic:cNvPr id="0" name="069-a17.png"/>
                    <pic:cNvPicPr/>
                  </pic:nvPicPr>
                  <pic:blipFill>
                    <a:blip r:embed="rId77"/>
                    <a:stretch>
                      <a:fillRect/>
                    </a:stretch>
                  </pic:blipFill>
                  <pic:spPr>
                    <a:xfrm>
                      <a:off x="0" y="0"/>
                      <a:ext cx="5400000" cy="5655000"/>
                    </a:xfrm>
                    <a:prstGeom prst="rect"/>
                  </pic:spPr>
                </pic:pic>
              </a:graphicData>
            </a:graphic>
          </wp:inline>
        </w:drawing>
      </w:r>
    </w:p>
    <w:p>
      <w:pPr>
        <w:spacing w:before="0" w:after="240"/>
      </w:pPr>
      <w:r>
        <w:rPr>
          <w:color w:val="565B6E"/>
          <w:sz w:val="18"/>
        </w:rPr>
        <w:t>Figure 3.69 : Le profil d'une étudiante, vu par un recruteur</w:t>
      </w:r>
    </w:p>
    <w:p>
      <w:r>
        <w:rPr>
          <w:sz w:val="22"/>
        </w:rPr>
        <w:t>Ingenosya consulte le profil de la candidate qu'elle vient de recruter : établissement et identité vérifiés, compétences et niveau, préférences, parcours.</w:t>
      </w:r>
    </w:p>
    <w:p>
      <w:pPr>
        <w:pStyle w:val="Heading3"/>
      </w:pPr>
      <w:r>
        <w:t>3.3.18  Les mécanismes de compte</w:t>
      </w:r>
    </w:p>
    <w:p>
      <w:r>
        <w:rPr>
          <w:sz w:val="22"/>
        </w:rPr>
        <w:t>Toky a oublié son mot de passe et en obtient un nouveau par un lien à usage unique. Ingenosya change le sien depuis son espace.</w:t>
      </w:r>
    </w:p>
    <w:p>
      <w:r>
        <w:rPr>
          <w:i/>
          <w:sz w:val="22"/>
        </w:rPr>
        <w:t>Acteurs : Toky Andriamahefa, Ingenosya.</w:t>
      </w:r>
    </w:p>
    <w:p>
      <w:pPr>
        <w:keepNext/>
        <w:jc w:val="center"/>
      </w:pPr>
      <w:r>
        <w:drawing>
          <wp:inline xmlns:a="http://schemas.openxmlformats.org/drawingml/2006/main" xmlns:pic="http://schemas.openxmlformats.org/drawingml/2006/picture">
            <wp:extent cx="5400000" cy="3375000"/>
            <wp:docPr id="70" name="Picture 70"/>
            <wp:cNvGraphicFramePr>
              <a:graphicFrameLocks noChangeAspect="1"/>
            </wp:cNvGraphicFramePr>
            <a:graphic>
              <a:graphicData uri="http://schemas.openxmlformats.org/drawingml/2006/picture">
                <pic:pic>
                  <pic:nvPicPr>
                    <pic:cNvPr id="0" name="070-a18.png"/>
                    <pic:cNvPicPr/>
                  </pic:nvPicPr>
                  <pic:blipFill>
                    <a:blip r:embed="rId78"/>
                    <a:stretch>
                      <a:fillRect/>
                    </a:stretch>
                  </pic:blipFill>
                  <pic:spPr>
                    <a:xfrm>
                      <a:off x="0" y="0"/>
                      <a:ext cx="5400000" cy="3375000"/>
                    </a:xfrm>
                    <a:prstGeom prst="rect"/>
                  </pic:spPr>
                </pic:pic>
              </a:graphicData>
            </a:graphic>
          </wp:inline>
        </w:drawing>
      </w:r>
    </w:p>
    <w:p>
      <w:pPr>
        <w:spacing w:before="0" w:after="240"/>
      </w:pPr>
      <w:r>
        <w:rPr>
          <w:color w:val="565B6E"/>
          <w:sz w:val="18"/>
        </w:rPr>
        <w:t>Figure 3.70 : La demande de réinitialisation</w:t>
      </w:r>
    </w:p>
    <w:p>
      <w:r>
        <w:rPr>
          <w:sz w:val="22"/>
        </w:rPr>
        <w:t>L'étudiant saisit son adresse et demande un lien.</w:t>
      </w:r>
    </w:p>
    <w:p>
      <w:pPr>
        <w:keepNext/>
        <w:jc w:val="center"/>
      </w:pPr>
      <w:r>
        <w:drawing>
          <wp:inline xmlns:a="http://schemas.openxmlformats.org/drawingml/2006/main" xmlns:pic="http://schemas.openxmlformats.org/drawingml/2006/picture">
            <wp:extent cx="5400000" cy="3375000"/>
            <wp:docPr id="71" name="Picture 71"/>
            <wp:cNvGraphicFramePr>
              <a:graphicFrameLocks noChangeAspect="1"/>
            </wp:cNvGraphicFramePr>
            <a:graphic>
              <a:graphicData uri="http://schemas.openxmlformats.org/drawingml/2006/picture">
                <pic:pic>
                  <pic:nvPicPr>
                    <pic:cNvPr id="0" name="071-a18.png"/>
                    <pic:cNvPicPr/>
                  </pic:nvPicPr>
                  <pic:blipFill>
                    <a:blip r:embed="rId79"/>
                    <a:stretch>
                      <a:fillRect/>
                    </a:stretch>
                  </pic:blipFill>
                  <pic:spPr>
                    <a:xfrm>
                      <a:off x="0" y="0"/>
                      <a:ext cx="5400000" cy="3375000"/>
                    </a:xfrm>
                    <a:prstGeom prst="rect"/>
                  </pic:spPr>
                </pic:pic>
              </a:graphicData>
            </a:graphic>
          </wp:inline>
        </w:drawing>
      </w:r>
    </w:p>
    <w:p>
      <w:pPr>
        <w:spacing w:before="0" w:after="240"/>
      </w:pPr>
      <w:r>
        <w:rPr>
          <w:color w:val="565B6E"/>
          <w:sz w:val="18"/>
        </w:rPr>
        <w:t>Figure 3.71 : Une réponse volontairement identique</w:t>
      </w:r>
    </w:p>
    <w:p>
      <w:r>
        <w:rPr>
          <w:sz w:val="22"/>
        </w:rPr>
        <w:t>La réponse est la même que l'adresse existe ou non, et sa durée aussi. Sans cette seconde précaution, le formulaire permettrait de découvrir qui est inscrit sur la plateforme, ce qui, pour un site d'étudiants en recherche de stage, revient à exposer des personnes.</w:t>
      </w:r>
    </w:p>
    <w:p>
      <w:pPr>
        <w:keepNext/>
        <w:jc w:val="center"/>
      </w:pPr>
      <w:r>
        <w:drawing>
          <wp:inline xmlns:a="http://schemas.openxmlformats.org/drawingml/2006/main" xmlns:pic="http://schemas.openxmlformats.org/drawingml/2006/picture">
            <wp:extent cx="5400000" cy="3375000"/>
            <wp:docPr id="72" name="Picture 72"/>
            <wp:cNvGraphicFramePr>
              <a:graphicFrameLocks noChangeAspect="1"/>
            </wp:cNvGraphicFramePr>
            <a:graphic>
              <a:graphicData uri="http://schemas.openxmlformats.org/drawingml/2006/picture">
                <pic:pic>
                  <pic:nvPicPr>
                    <pic:cNvPr id="0" name="072-a18.png"/>
                    <pic:cNvPicPr/>
                  </pic:nvPicPr>
                  <pic:blipFill>
                    <a:blip r:embed="rId80"/>
                    <a:stretch>
                      <a:fillRect/>
                    </a:stretch>
                  </pic:blipFill>
                  <pic:spPr>
                    <a:xfrm>
                      <a:off x="0" y="0"/>
                      <a:ext cx="5400000" cy="3375000"/>
                    </a:xfrm>
                    <a:prstGeom prst="rect"/>
                  </pic:spPr>
                </pic:pic>
              </a:graphicData>
            </a:graphic>
          </wp:inline>
        </w:drawing>
      </w:r>
    </w:p>
    <w:p>
      <w:pPr>
        <w:spacing w:before="0" w:after="240"/>
      </w:pPr>
      <w:r>
        <w:rPr>
          <w:color w:val="565B6E"/>
          <w:sz w:val="18"/>
        </w:rPr>
        <w:t>Figure 3.72 : Le choix du nouveau mot de passe</w:t>
      </w:r>
    </w:p>
    <w:p>
      <w:r>
        <w:rPr>
          <w:sz w:val="22"/>
        </w:rPr>
        <w:t>Le lien reçu par courriel mène à ce formulaire. Il a été vérifié avant l'affichage : inutile de faire saisir un mot de passe pour annoncer ensuite que le lien a expiré. Le mot de passe est contrôlé avant que le lien ne soit consommé, afin qu'une faute de frappe ne le brûle pas.</w:t>
      </w:r>
    </w:p>
    <w:p>
      <w:pPr>
        <w:keepNext/>
        <w:jc w:val="center"/>
      </w:pPr>
      <w:r>
        <w:drawing>
          <wp:inline xmlns:a="http://schemas.openxmlformats.org/drawingml/2006/main" xmlns:pic="http://schemas.openxmlformats.org/drawingml/2006/picture">
            <wp:extent cx="5400000" cy="3375000"/>
            <wp:docPr id="73" name="Picture 73"/>
            <wp:cNvGraphicFramePr>
              <a:graphicFrameLocks noChangeAspect="1"/>
            </wp:cNvGraphicFramePr>
            <a:graphic>
              <a:graphicData uri="http://schemas.openxmlformats.org/drawingml/2006/picture">
                <pic:pic>
                  <pic:nvPicPr>
                    <pic:cNvPr id="0" name="073-a18.png"/>
                    <pic:cNvPicPr/>
                  </pic:nvPicPr>
                  <pic:blipFill>
                    <a:blip r:embed="rId81"/>
                    <a:stretch>
                      <a:fillRect/>
                    </a:stretch>
                  </pic:blipFill>
                  <pic:spPr>
                    <a:xfrm>
                      <a:off x="0" y="0"/>
                      <a:ext cx="5400000" cy="3375000"/>
                    </a:xfrm>
                    <a:prstGeom prst="rect"/>
                  </pic:spPr>
                </pic:pic>
              </a:graphicData>
            </a:graphic>
          </wp:inline>
        </w:drawing>
      </w:r>
    </w:p>
    <w:p>
      <w:pPr>
        <w:spacing w:before="0" w:after="240"/>
      </w:pPr>
      <w:r>
        <w:rPr>
          <w:color w:val="565B6E"/>
          <w:sz w:val="18"/>
        </w:rPr>
        <w:t>Figure 3.73 : Le mot de passe réinitialisé</w:t>
      </w:r>
    </w:p>
    <w:p>
      <w:r>
        <w:rPr>
          <w:sz w:val="22"/>
        </w:rPr>
        <w:t>Le mot de passe est changé, et tous les liens encore ouverts pour ce compte sont invalidés.</w:t>
      </w:r>
    </w:p>
    <w:p>
      <w:pPr>
        <w:keepNext/>
        <w:jc w:val="center"/>
      </w:pPr>
      <w:r>
        <w:drawing>
          <wp:inline xmlns:a="http://schemas.openxmlformats.org/drawingml/2006/main" xmlns:pic="http://schemas.openxmlformats.org/drawingml/2006/picture">
            <wp:extent cx="5400000" cy="3375000"/>
            <wp:docPr id="74" name="Picture 74"/>
            <wp:cNvGraphicFramePr>
              <a:graphicFrameLocks noChangeAspect="1"/>
            </wp:cNvGraphicFramePr>
            <a:graphic>
              <a:graphicData uri="http://schemas.openxmlformats.org/drawingml/2006/picture">
                <pic:pic>
                  <pic:nvPicPr>
                    <pic:cNvPr id="0" name="074-a18.png"/>
                    <pic:cNvPicPr/>
                  </pic:nvPicPr>
                  <pic:blipFill>
                    <a:blip r:embed="rId82"/>
                    <a:stretch>
                      <a:fillRect/>
                    </a:stretch>
                  </pic:blipFill>
                  <pic:spPr>
                    <a:xfrm>
                      <a:off x="0" y="0"/>
                      <a:ext cx="5400000" cy="3375000"/>
                    </a:xfrm>
                    <a:prstGeom prst="rect"/>
                  </pic:spPr>
                </pic:pic>
              </a:graphicData>
            </a:graphic>
          </wp:inline>
        </w:drawing>
      </w:r>
    </w:p>
    <w:p>
      <w:pPr>
        <w:spacing w:before="0" w:after="240"/>
      </w:pPr>
      <w:r>
        <w:rPr>
          <w:color w:val="565B6E"/>
          <w:sz w:val="18"/>
        </w:rPr>
        <w:t>Figure 3.74 : Le changement de mot de passe depuis son espace</w:t>
      </w:r>
    </w:p>
    <w:p>
      <w:r>
        <w:rPr>
          <w:sz w:val="22"/>
        </w:rPr>
        <w:t>Connecté, l'utilisateur change son mot de passe en fournissant l'ancien : une session laissée ouverte sur un poste partagé ne suffit pas à s'approprier le compte. Le nouveau mot de passe obéit à la même politique qu'à l'inscription.</w:t>
      </w:r>
    </w:p>
    <w:p>
      <w:pPr>
        <w:keepNext/>
        <w:jc w:val="center"/>
      </w:pPr>
      <w:r>
        <w:drawing>
          <wp:inline xmlns:a="http://schemas.openxmlformats.org/drawingml/2006/main" xmlns:pic="http://schemas.openxmlformats.org/drawingml/2006/picture">
            <wp:extent cx="5400000" cy="3375000"/>
            <wp:docPr id="75" name="Picture 75"/>
            <wp:cNvGraphicFramePr>
              <a:graphicFrameLocks noChangeAspect="1"/>
            </wp:cNvGraphicFramePr>
            <a:graphic>
              <a:graphicData uri="http://schemas.openxmlformats.org/drawingml/2006/picture">
                <pic:pic>
                  <pic:nvPicPr>
                    <pic:cNvPr id="0" name="075-a18.png"/>
                    <pic:cNvPicPr/>
                  </pic:nvPicPr>
                  <pic:blipFill>
                    <a:blip r:embed="rId83"/>
                    <a:stretch>
                      <a:fillRect/>
                    </a:stretch>
                  </pic:blipFill>
                  <pic:spPr>
                    <a:xfrm>
                      <a:off x="0" y="0"/>
                      <a:ext cx="5400000" cy="3375000"/>
                    </a:xfrm>
                    <a:prstGeom prst="rect"/>
                  </pic:spPr>
                </pic:pic>
              </a:graphicData>
            </a:graphic>
          </wp:inline>
        </w:drawing>
      </w:r>
    </w:p>
    <w:p>
      <w:pPr>
        <w:spacing w:before="0" w:after="240"/>
      </w:pPr>
      <w:r>
        <w:rPr>
          <w:color w:val="565B6E"/>
          <w:sz w:val="18"/>
        </w:rPr>
        <w:t>Figure 3.75 : Le mot de passe modifié</w:t>
      </w:r>
    </w:p>
    <w:p>
      <w:r>
        <w:rPr>
          <w:sz w:val="22"/>
        </w:rPr>
        <w:t>La modification est confirmée, puis l'application ramène l'entreprise à son profil.</w:t>
      </w:r>
    </w:p>
    <w:p>
      <w:r>
        <w:br w:type="page"/>
      </w:r>
    </w:p>
    <w:p>
      <w:pPr>
        <w:pStyle w:val="Heading2"/>
      </w:pPr>
      <w:r>
        <w:t>3.4 Seconde partie : la plateforme en régime</w:t>
      </w:r>
    </w:p>
    <w:p>
      <w:r>
        <w:rPr>
          <w:sz w:val="22"/>
        </w:rPr>
        <w:t>Le jeu de démonstration complet est restauré. Les acteurs de cette partie en sont issus, et ils ont été choisis d'après les réponses réelles du moteur plutôt que d'après leur nom : Njaka Rakotomalala, parce que ses recommandations mobilisent la similarité entre compétences et que son CV est numérisé ; l'offre Vue.js d'Ingenosya Madagascar, parce que c'est précisément celle que cette similarité lui ouvre.</w:t>
      </w:r>
    </w:p>
    <w:p>
      <w:pPr>
        <w:pStyle w:val="Heading3"/>
      </w:pPr>
      <w:r>
        <w:t>3.4.1  Le pilotage de l'administration</w:t>
      </w:r>
    </w:p>
    <w:p>
      <w:r>
        <w:rPr>
          <w:sz w:val="22"/>
        </w:rPr>
        <w:t>Sur le jeu de démonstration (38 étudiants, 25 entreprises, 15 établissements, 67 offres et 72 candidatures), le tableau de bord d'administration prend tout son sens.</w:t>
      </w:r>
    </w:p>
    <w:p>
      <w:r>
        <w:rPr>
          <w:i/>
          <w:sz w:val="22"/>
        </w:rPr>
        <w:t>Acteurs : Administrateur.</w:t>
      </w:r>
    </w:p>
    <w:p>
      <w:pPr>
        <w:keepNext/>
        <w:jc w:val="center"/>
      </w:pPr>
      <w:r>
        <w:drawing>
          <wp:inline xmlns:a="http://schemas.openxmlformats.org/drawingml/2006/main" xmlns:pic="http://schemas.openxmlformats.org/drawingml/2006/picture">
            <wp:extent cx="5400000" cy="4305000"/>
            <wp:docPr id="76" name="Picture 76"/>
            <wp:cNvGraphicFramePr>
              <a:graphicFrameLocks noChangeAspect="1"/>
            </wp:cNvGraphicFramePr>
            <a:graphic>
              <a:graphicData uri="http://schemas.openxmlformats.org/drawingml/2006/picture">
                <pic:pic>
                  <pic:nvPicPr>
                    <pic:cNvPr id="0" name="001-b1.png"/>
                    <pic:cNvPicPr/>
                  </pic:nvPicPr>
                  <pic:blipFill>
                    <a:blip r:embed="rId84"/>
                    <a:stretch>
                      <a:fillRect/>
                    </a:stretch>
                  </pic:blipFill>
                  <pic:spPr>
                    <a:xfrm>
                      <a:off x="0" y="0"/>
                      <a:ext cx="5400000" cy="4305000"/>
                    </a:xfrm>
                    <a:prstGeom prst="rect"/>
                  </pic:spPr>
                </pic:pic>
              </a:graphicData>
            </a:graphic>
          </wp:inline>
        </w:drawing>
      </w:r>
    </w:p>
    <w:p>
      <w:pPr>
        <w:spacing w:before="0" w:after="240"/>
      </w:pPr>
      <w:r>
        <w:rPr>
          <w:color w:val="565B6E"/>
          <w:sz w:val="18"/>
        </w:rPr>
        <w:t>Figure 3.76 : Les statistiques d'administration</w:t>
      </w:r>
    </w:p>
    <w:p>
      <w:r>
        <w:rPr>
          <w:sz w:val="22"/>
        </w:rPr>
        <w:t>Volumes par type de compte, comptes restant à vérifier, et courbe des inscriptions par mois pour chaque public. L'administrateur voit d'un coup d'œil si la plateforme attire ses trois publics de manière équilibrée.</w:t>
      </w:r>
    </w:p>
    <w:p>
      <w:pPr>
        <w:keepNext/>
        <w:jc w:val="center"/>
      </w:pPr>
      <w:r>
        <w:drawing>
          <wp:inline xmlns:a="http://schemas.openxmlformats.org/drawingml/2006/main" xmlns:pic="http://schemas.openxmlformats.org/drawingml/2006/picture">
            <wp:extent cx="5400000" cy="3375000"/>
            <wp:docPr id="77" name="Picture 77"/>
            <wp:cNvGraphicFramePr>
              <a:graphicFrameLocks noChangeAspect="1"/>
            </wp:cNvGraphicFramePr>
            <a:graphic>
              <a:graphicData uri="http://schemas.openxmlformats.org/drawingml/2006/picture">
                <pic:pic>
                  <pic:nvPicPr>
                    <pic:cNvPr id="0" name="002-b1.png"/>
                    <pic:cNvPicPr/>
                  </pic:nvPicPr>
                  <pic:blipFill>
                    <a:blip r:embed="rId85"/>
                    <a:stretch>
                      <a:fillRect/>
                    </a:stretch>
                  </pic:blipFill>
                  <pic:spPr>
                    <a:xfrm>
                      <a:off x="0" y="0"/>
                      <a:ext cx="5400000" cy="3375000"/>
                    </a:xfrm>
                    <a:prstGeom prst="rect"/>
                  </pic:spPr>
                </pic:pic>
              </a:graphicData>
            </a:graphic>
          </wp:inline>
        </w:drawing>
      </w:r>
    </w:p>
    <w:p>
      <w:pPr>
        <w:spacing w:before="0" w:after="240"/>
      </w:pPr>
      <w:r>
        <w:rPr>
          <w:color w:val="565B6E"/>
          <w:sz w:val="18"/>
        </w:rPr>
        <w:t>Figure 3.77 : La liste des offres, côté administration</w:t>
      </w:r>
    </w:p>
    <w:p>
      <w:r>
        <w:rPr>
          <w:sz w:val="22"/>
        </w:rPr>
        <w:t>Toutes les offres publiées sur la plateforme, avec leur entreprise et leur état.</w:t>
      </w:r>
    </w:p>
    <w:p>
      <w:pPr>
        <w:pStyle w:val="Heading3"/>
      </w:pPr>
      <w:r>
        <w:t>3.4.2  Des recommandations expliquées</w:t>
      </w:r>
    </w:p>
    <w:p>
      <w:r>
        <w:rPr>
          <w:sz w:val="22"/>
        </w:rPr>
        <w:t>Njaka Rakotomalala est en Licence 3 d'informatique. Il a déclaré cinq compétences : React, Javascript, SQL, Git et le malagasy. Parmi les 65 offres actives, le moteur classe celles qui lui correspondent et justifie chaque proposition.</w:t>
      </w:r>
    </w:p>
    <w:p>
      <w:r>
        <w:rPr>
          <w:i/>
          <w:sz w:val="22"/>
        </w:rPr>
        <w:t>Acteurs : Njaka Rakotomalala (étudiant).</w:t>
      </w:r>
    </w:p>
    <w:p>
      <w:pPr>
        <w:keepNext/>
        <w:jc w:val="center"/>
      </w:pPr>
      <w:r>
        <w:drawing>
          <wp:inline xmlns:a="http://schemas.openxmlformats.org/drawingml/2006/main" xmlns:pic="http://schemas.openxmlformats.org/drawingml/2006/picture">
            <wp:extent cx="5400000" cy="3375000"/>
            <wp:docPr id="78" name="Picture 78"/>
            <wp:cNvGraphicFramePr>
              <a:graphicFrameLocks noChangeAspect="1"/>
            </wp:cNvGraphicFramePr>
            <a:graphic>
              <a:graphicData uri="http://schemas.openxmlformats.org/drawingml/2006/picture">
                <pic:pic>
                  <pic:nvPicPr>
                    <pic:cNvPr id="0" name="003-b2.png"/>
                    <pic:cNvPicPr/>
                  </pic:nvPicPr>
                  <pic:blipFill>
                    <a:blip r:embed="rId86"/>
                    <a:stretch>
                      <a:fillRect/>
                    </a:stretch>
                  </pic:blipFill>
                  <pic:spPr>
                    <a:xfrm>
                      <a:off x="0" y="0"/>
                      <a:ext cx="5400000" cy="3375000"/>
                    </a:xfrm>
                    <a:prstGeom prst="rect"/>
                  </pic:spPr>
                </pic:pic>
              </a:graphicData>
            </a:graphic>
          </wp:inline>
        </w:drawing>
      </w:r>
    </w:p>
    <w:p>
      <w:pPr>
        <w:spacing w:before="0" w:after="240"/>
      </w:pPr>
      <w:r>
        <w:rPr>
          <w:color w:val="565B6E"/>
          <w:sz w:val="18"/>
        </w:rPr>
        <w:t>Figure 3.78 : Les recommandations sur un corpus complet</w:t>
      </w:r>
    </w:p>
    <w:p>
      <w:r>
        <w:rPr>
          <w:sz w:val="22"/>
        </w:rPr>
        <w:t>En tête, « Développeur web junior » chez Blueline Madagascar, avec un score de 97 : les trois compétences exigées, la filière, le niveau et la ville concordent. Chaque carte affiche ses motifs. C'est cette explication qui distingue une recommandation d'un simple classement : l'étudiant peut vérifier le raisonnement, et le contester.</w:t>
      </w:r>
    </w:p>
    <w:p>
      <w:pPr>
        <w:keepNext/>
        <w:jc w:val="center"/>
      </w:pPr>
      <w:r>
        <w:drawing>
          <wp:inline xmlns:a="http://schemas.openxmlformats.org/drawingml/2006/main" xmlns:pic="http://schemas.openxmlformats.org/drawingml/2006/picture">
            <wp:extent cx="5400000" cy="3375000"/>
            <wp:docPr id="79" name="Picture 79"/>
            <wp:cNvGraphicFramePr>
              <a:graphicFrameLocks noChangeAspect="1"/>
            </wp:cNvGraphicFramePr>
            <a:graphic>
              <a:graphicData uri="http://schemas.openxmlformats.org/drawingml/2006/picture">
                <pic:pic>
                  <pic:nvPicPr>
                    <pic:cNvPr id="0" name="004-b2.png"/>
                    <pic:cNvPicPr/>
                  </pic:nvPicPr>
                  <pic:blipFill>
                    <a:blip r:embed="rId87"/>
                    <a:stretch>
                      <a:fillRect/>
                    </a:stretch>
                  </pic:blipFill>
                  <pic:spPr>
                    <a:xfrm>
                      <a:off x="0" y="0"/>
                      <a:ext cx="5400000" cy="3375000"/>
                    </a:xfrm>
                    <a:prstGeom prst="rect"/>
                  </pic:spPr>
                </pic:pic>
              </a:graphicData>
            </a:graphic>
          </wp:inline>
        </w:drawing>
      </w:r>
    </w:p>
    <w:p>
      <w:pPr>
        <w:spacing w:before="0" w:after="240"/>
      </w:pPr>
      <w:r>
        <w:rPr>
          <w:color w:val="565B6E"/>
          <w:sz w:val="18"/>
        </w:rPr>
        <w:t>Figure 3.79 : Le détail d'une offre recommandée</w:t>
      </w:r>
    </w:p>
    <w:p>
      <w:r>
        <w:rPr>
          <w:sz w:val="22"/>
        </w:rPr>
        <w:t>La fiche complète de l'offre : description, conditions, compétences exigées, entreprise. L'étudiant postule depuis cette fenêtre.</w:t>
      </w:r>
    </w:p>
    <w:p>
      <w:pPr>
        <w:pStyle w:val="Heading3"/>
      </w:pPr>
      <w:r>
        <w:t>3.4.3  La similarité entre compétences</w:t>
      </w:r>
    </w:p>
    <w:p>
      <w:r>
        <w:rPr>
          <w:sz w:val="22"/>
        </w:rPr>
        <w:t>Njaka ne déclare pas Vue.js. Une correspondance exacte lui donnerait zéro sur une offre qui l'exige. Le moteur sait pourtant que React et Vue.js sont proches : il l'a appris en observant quelles compétences apparaissent ensemble dans les offres et les CV du corpus, sans qu'aucune règle ne le lui ait dit.</w:t>
      </w:r>
    </w:p>
    <w:p>
      <w:r>
        <w:rPr>
          <w:i/>
          <w:sz w:val="22"/>
        </w:rPr>
        <w:t>Acteurs : Njaka Rakotomalala (étudiant).</w:t>
      </w:r>
    </w:p>
    <w:p>
      <w:pPr>
        <w:keepNext/>
        <w:jc w:val="center"/>
      </w:pPr>
      <w:r>
        <w:drawing>
          <wp:inline xmlns:a="http://schemas.openxmlformats.org/drawingml/2006/main" xmlns:pic="http://schemas.openxmlformats.org/drawingml/2006/picture">
            <wp:extent cx="5400000" cy="3375000"/>
            <wp:docPr id="80" name="Picture 80"/>
            <wp:cNvGraphicFramePr>
              <a:graphicFrameLocks noChangeAspect="1"/>
            </wp:cNvGraphicFramePr>
            <a:graphic>
              <a:graphicData uri="http://schemas.openxmlformats.org/drawingml/2006/picture">
                <pic:pic>
                  <pic:nvPicPr>
                    <pic:cNvPr id="0" name="005-b3.png"/>
                    <pic:cNvPicPr/>
                  </pic:nvPicPr>
                  <pic:blipFill>
                    <a:blip r:embed="rId88"/>
                    <a:stretch>
                      <a:fillRect/>
                    </a:stretch>
                  </pic:blipFill>
                  <pic:spPr>
                    <a:xfrm>
                      <a:off x="0" y="0"/>
                      <a:ext cx="5400000" cy="3375000"/>
                    </a:xfrm>
                    <a:prstGeom prst="rect"/>
                  </pic:spPr>
                </pic:pic>
              </a:graphicData>
            </a:graphic>
          </wp:inline>
        </w:drawing>
      </w:r>
    </w:p>
    <w:p>
      <w:pPr>
        <w:spacing w:before="0" w:after="240"/>
      </w:pPr>
      <w:r>
        <w:rPr>
          <w:color w:val="565B6E"/>
          <w:sz w:val="18"/>
        </w:rPr>
        <w:t>Figure 3.80 : Une offre ouverte par la similarité</w:t>
      </w:r>
    </w:p>
    <w:p>
      <w:r>
        <w:rPr>
          <w:sz w:val="22"/>
        </w:rPr>
        <w:t>L'offre de développeur front-end Vue.js d'Ingenosya Madagascar est recommandée avec un score de 77. Son premier motif est « React est proche de Vue.js » : la compétence que Njaka possède est créditée pour celle qu'il n'a pas. Sans cette mesure de proximité, l'offre n'aurait obtenu qu'une correspondance partielle sur les compétences, et aurait disparu du classement.</w:t>
      </w:r>
    </w:p>
    <w:p>
      <w:pPr>
        <w:pStyle w:val="Heading3"/>
      </w:pPr>
      <w:r>
        <w:t>3.4.4  Le conseiller : que dois-je apprendre ?</w:t>
      </w:r>
    </w:p>
    <w:p>
      <w:r>
        <w:rPr>
          <w:sz w:val="22"/>
        </w:rPr>
        <w:t>Le conseiller rejoue le calcul des recommandations comme si l'étudiant maîtrisait une compétence supplémentaire, pour chacune de celles qu'il ne possède pas, sur l'ensemble des offres. Il ne retient que celles qui ouvrent réellement de nouvelles opportunités.</w:t>
      </w:r>
    </w:p>
    <w:p>
      <w:r>
        <w:rPr>
          <w:i/>
          <w:sz w:val="22"/>
        </w:rPr>
        <w:t>Acteurs : Njaka Rakotomalala (étudiant).</w:t>
      </w:r>
    </w:p>
    <w:p>
      <w:pPr>
        <w:keepNext/>
        <w:jc w:val="center"/>
      </w:pPr>
      <w:r>
        <w:drawing>
          <wp:inline xmlns:a="http://schemas.openxmlformats.org/drawingml/2006/main" xmlns:pic="http://schemas.openxmlformats.org/drawingml/2006/picture">
            <wp:extent cx="5400000" cy="3375000"/>
            <wp:docPr id="81" name="Picture 81"/>
            <wp:cNvGraphicFramePr>
              <a:graphicFrameLocks noChangeAspect="1"/>
            </wp:cNvGraphicFramePr>
            <a:graphic>
              <a:graphicData uri="http://schemas.openxmlformats.org/drawingml/2006/picture">
                <pic:pic>
                  <pic:nvPicPr>
                    <pic:cNvPr id="0" name="006-b4.png"/>
                    <pic:cNvPicPr/>
                  </pic:nvPicPr>
                  <pic:blipFill>
                    <a:blip r:embed="rId89"/>
                    <a:stretch>
                      <a:fillRect/>
                    </a:stretch>
                  </pic:blipFill>
                  <pic:spPr>
                    <a:xfrm>
                      <a:off x="0" y="0"/>
                      <a:ext cx="5400000" cy="3375000"/>
                    </a:xfrm>
                    <a:prstGeom prst="rect"/>
                  </pic:spPr>
                </pic:pic>
              </a:graphicData>
            </a:graphic>
          </wp:inline>
        </w:drawing>
      </w:r>
    </w:p>
    <w:p>
      <w:pPr>
        <w:spacing w:before="0" w:after="240"/>
      </w:pPr>
      <w:r>
        <w:rPr>
          <w:color w:val="565B6E"/>
          <w:sz w:val="18"/>
        </w:rPr>
        <w:t>Figure 3.81 : Les compétences qui ouvriraient le plus de portes</w:t>
      </w:r>
    </w:p>
    <w:p>
      <w:r>
        <w:rPr>
          <w:sz w:val="22"/>
        </w:rPr>
        <w:t>Sur 65 offres analysées, 26 sont aujourd'hui accessibles à Njaka et 11 prometteuses. Apprendre Node.js en débloquerait 4 de plus ; Java en débloquerait 3 et relèverait son score moyen de 3 points. Chaque suggestion cite des offres concrètes. Le conseiller rend le système prescriptif : il ne dit plus seulement « voici ce qui vous correspond », mais « voici ce qui vous rapprocherait du reste ».</w:t>
      </w:r>
    </w:p>
    <w:p>
      <w:pPr>
        <w:pStyle w:val="Heading3"/>
      </w:pPr>
      <w:r>
        <w:t>3.4.5  La lecture d'un CV numérisé</w:t>
      </w:r>
    </w:p>
    <w:p>
      <w:r>
        <w:rPr>
          <w:sz w:val="22"/>
        </w:rPr>
        <w:t>Le CV de Njaka est un document numérisé en deux colonnes : la disposition la plus difficile du corpus pour une lecture automatique.</w:t>
      </w:r>
    </w:p>
    <w:p>
      <w:r>
        <w:rPr>
          <w:i/>
          <w:sz w:val="22"/>
        </w:rPr>
        <w:t>Acteurs : Njaka Rakotomalala (étudiant).</w:t>
      </w:r>
    </w:p>
    <w:p>
      <w:pPr>
        <w:keepNext/>
        <w:jc w:val="center"/>
      </w:pPr>
      <w:r>
        <w:drawing>
          <wp:inline xmlns:a="http://schemas.openxmlformats.org/drawingml/2006/main" xmlns:pic="http://schemas.openxmlformats.org/drawingml/2006/picture">
            <wp:extent cx="5400000" cy="3375000"/>
            <wp:docPr id="82" name="Picture 82"/>
            <wp:cNvGraphicFramePr>
              <a:graphicFrameLocks noChangeAspect="1"/>
            </wp:cNvGraphicFramePr>
            <a:graphic>
              <a:graphicData uri="http://schemas.openxmlformats.org/drawingml/2006/picture">
                <pic:pic>
                  <pic:nvPicPr>
                    <pic:cNvPr id="0" name="007-b5.png"/>
                    <pic:cNvPicPr/>
                  </pic:nvPicPr>
                  <pic:blipFill>
                    <a:blip r:embed="rId90"/>
                    <a:stretch>
                      <a:fillRect/>
                    </a:stretch>
                  </pic:blipFill>
                  <pic:spPr>
                    <a:xfrm>
                      <a:off x="0" y="0"/>
                      <a:ext cx="5400000" cy="3375000"/>
                    </a:xfrm>
                    <a:prstGeom prst="rect"/>
                  </pic:spPr>
                </pic:pic>
              </a:graphicData>
            </a:graphic>
          </wp:inline>
        </w:drawing>
      </w:r>
    </w:p>
    <w:p>
      <w:pPr>
        <w:spacing w:before="0" w:after="240"/>
      </w:pPr>
      <w:r>
        <w:rPr>
          <w:color w:val="565B6E"/>
          <w:sz w:val="18"/>
        </w:rPr>
        <w:t>Figure 3.82 : Un CV numérisé déjà analysé</w:t>
      </w:r>
    </w:p>
    <w:p>
      <w:r>
        <w:rPr>
          <w:sz w:val="22"/>
        </w:rPr>
        <w:t>La carte du CV indique qu'il a été lu par reconnaissance optique de caractères, avec une confiance de 88 %, et combien de compétences il a apportées au profil.</w:t>
      </w:r>
    </w:p>
    <w:p>
      <w:pPr>
        <w:keepNext/>
        <w:jc w:val="center"/>
      </w:pPr>
      <w:r>
        <w:drawing>
          <wp:inline xmlns:a="http://schemas.openxmlformats.org/drawingml/2006/main" xmlns:pic="http://schemas.openxmlformats.org/drawingml/2006/picture">
            <wp:extent cx="5400000" cy="4297500"/>
            <wp:docPr id="83" name="Picture 83"/>
            <wp:cNvGraphicFramePr>
              <a:graphicFrameLocks noChangeAspect="1"/>
            </wp:cNvGraphicFramePr>
            <a:graphic>
              <a:graphicData uri="http://schemas.openxmlformats.org/drawingml/2006/picture">
                <pic:pic>
                  <pic:nvPicPr>
                    <pic:cNvPr id="0" name="008-b5.png"/>
                    <pic:cNvPicPr/>
                  </pic:nvPicPr>
                  <pic:blipFill>
                    <a:blip r:embed="rId91"/>
                    <a:stretch>
                      <a:fillRect/>
                    </a:stretch>
                  </pic:blipFill>
                  <pic:spPr>
                    <a:xfrm>
                      <a:off x="0" y="0"/>
                      <a:ext cx="5400000" cy="4297500"/>
                    </a:xfrm>
                    <a:prstGeom prst="rect"/>
                  </pic:spPr>
                </pic:pic>
              </a:graphicData>
            </a:graphic>
          </wp:inline>
        </w:drawing>
      </w:r>
    </w:p>
    <w:p>
      <w:pPr>
        <w:spacing w:before="0" w:after="240"/>
      </w:pPr>
      <w:r>
        <w:rPr>
          <w:color w:val="565B6E"/>
          <w:sz w:val="18"/>
        </w:rPr>
        <w:t>Figure 3.83 : Les compétences lues dans le CV numérisé</w:t>
      </w:r>
    </w:p>
    <w:p>
      <w:r>
        <w:rPr>
          <w:sz w:val="22"/>
        </w:rPr>
        <w:t>Chaque compétence est rattachée à la rubrique et à la page où elle a été lue, avec l'extrait qui la justifie. Celles lues hors d'une rubrique de compétences (dans une expérience, par exemple) sont présentées à part, comme incertaines.</w:t>
      </w:r>
    </w:p>
    <w:p>
      <w:pPr>
        <w:pStyle w:val="Heading3"/>
      </w:pPr>
      <w:r>
        <w:t>3.4.6  Les candidats suggérés à une entreprise</w:t>
      </w:r>
    </w:p>
    <w:p>
      <w:r>
        <w:rPr>
          <w:sz w:val="22"/>
        </w:rPr>
        <w:t>La recommandation fonctionne aussi dans l'autre sens. Pour une offre donnée, la plateforme désigne les profils qui s'en rapprochent le plus, y compris ceux qui n'ont pas postulé.</w:t>
      </w:r>
    </w:p>
    <w:p>
      <w:r>
        <w:rPr>
          <w:i/>
          <w:sz w:val="22"/>
        </w:rPr>
        <w:t>Acteurs : Ingenosya Madagascar (entreprise).</w:t>
      </w:r>
    </w:p>
    <w:p>
      <w:pPr>
        <w:keepNext/>
        <w:jc w:val="center"/>
      </w:pPr>
      <w:r>
        <w:drawing>
          <wp:inline xmlns:a="http://schemas.openxmlformats.org/drawingml/2006/main" xmlns:pic="http://schemas.openxmlformats.org/drawingml/2006/picture">
            <wp:extent cx="5400000" cy="3375000"/>
            <wp:docPr id="84" name="Picture 84"/>
            <wp:cNvGraphicFramePr>
              <a:graphicFrameLocks noChangeAspect="1"/>
            </wp:cNvGraphicFramePr>
            <a:graphic>
              <a:graphicData uri="http://schemas.openxmlformats.org/drawingml/2006/picture">
                <pic:pic>
                  <pic:nvPicPr>
                    <pic:cNvPr id="0" name="009-b6.png"/>
                    <pic:cNvPicPr/>
                  </pic:nvPicPr>
                  <pic:blipFill>
                    <a:blip r:embed="rId92"/>
                    <a:stretch>
                      <a:fillRect/>
                    </a:stretch>
                  </pic:blipFill>
                  <pic:spPr>
                    <a:xfrm>
                      <a:off x="0" y="0"/>
                      <a:ext cx="5400000" cy="3375000"/>
                    </a:xfrm>
                    <a:prstGeom prst="rect"/>
                  </pic:spPr>
                </pic:pic>
              </a:graphicData>
            </a:graphic>
          </wp:inline>
        </w:drawing>
      </w:r>
    </w:p>
    <w:p>
      <w:pPr>
        <w:spacing w:before="0" w:after="240"/>
      </w:pPr>
      <w:r>
        <w:rPr>
          <w:color w:val="565B6E"/>
          <w:sz w:val="18"/>
        </w:rPr>
        <w:t>Figure 3.84 : Le tableau de bord d'une entreprise active</w:t>
      </w:r>
    </w:p>
    <w:p>
      <w:r>
        <w:rPr>
          <w:sz w:val="22"/>
        </w:rPr>
        <w:t>Offres actives, candidatures reçues, candidatures à traiter : le tableau de bord d'une entreprise qui a publié plusieurs offres.</w:t>
      </w:r>
    </w:p>
    <w:p>
      <w:pPr>
        <w:keepNext/>
        <w:jc w:val="center"/>
      </w:pPr>
      <w:r>
        <w:drawing>
          <wp:inline xmlns:a="http://schemas.openxmlformats.org/drawingml/2006/main" xmlns:pic="http://schemas.openxmlformats.org/drawingml/2006/picture">
            <wp:extent cx="5400000" cy="3375000"/>
            <wp:docPr id="85" name="Picture 85"/>
            <wp:cNvGraphicFramePr>
              <a:graphicFrameLocks noChangeAspect="1"/>
            </wp:cNvGraphicFramePr>
            <a:graphic>
              <a:graphicData uri="http://schemas.openxmlformats.org/drawingml/2006/picture">
                <pic:pic>
                  <pic:nvPicPr>
                    <pic:cNvPr id="0" name="010-b6.png"/>
                    <pic:cNvPicPr/>
                  </pic:nvPicPr>
                  <pic:blipFill>
                    <a:blip r:embed="rId93"/>
                    <a:stretch>
                      <a:fillRect/>
                    </a:stretch>
                  </pic:blipFill>
                  <pic:spPr>
                    <a:xfrm>
                      <a:off x="0" y="0"/>
                      <a:ext cx="5400000" cy="3375000"/>
                    </a:xfrm>
                    <a:prstGeom prst="rect"/>
                  </pic:spPr>
                </pic:pic>
              </a:graphicData>
            </a:graphic>
          </wp:inline>
        </w:drawing>
      </w:r>
    </w:p>
    <w:p>
      <w:pPr>
        <w:spacing w:before="0" w:after="240"/>
      </w:pPr>
      <w:r>
        <w:rPr>
          <w:color w:val="565B6E"/>
          <w:sz w:val="18"/>
        </w:rPr>
        <w:t>Figure 3.85 : Les candidats suggérés pour l'offre Vue.js</w:t>
      </w:r>
    </w:p>
    <w:p>
      <w:r>
        <w:rPr>
          <w:sz w:val="22"/>
        </w:rPr>
        <w:t>Les profils sont classés par proximité avec l'offre, et chacun porte l'explication de son rang. Les étudiants qui n'ont pas postulé y figurent aussi : l'entreprise peut les contacter par la messagerie. Le score est présenté de manière neutre, sans le vocabulaire d'une candidature : un étudiant suggéré n'a rien demandé.</w:t>
      </w:r>
    </w:p>
    <w:p>
      <w:pPr>
        <w:pStyle w:val="Heading3"/>
      </w:pPr>
      <w:r>
        <w:t>3.4.7  La recherche et le traitement des candidatures en volume</w:t>
      </w:r>
    </w:p>
    <w:p>
      <w:r>
        <w:rPr>
          <w:sz w:val="22"/>
        </w:rPr>
        <w:t>Telma a reçu des candidatures sur plusieurs offres. Elle les trie, puis recherche directement des profils.</w:t>
      </w:r>
    </w:p>
    <w:p>
      <w:r>
        <w:rPr>
          <w:i/>
          <w:sz w:val="22"/>
        </w:rPr>
        <w:t>Acteurs : Telma (entreprise).</w:t>
      </w:r>
    </w:p>
    <w:p>
      <w:pPr>
        <w:keepNext/>
        <w:jc w:val="center"/>
      </w:pPr>
      <w:r>
        <w:drawing>
          <wp:inline xmlns:a="http://schemas.openxmlformats.org/drawingml/2006/main" xmlns:pic="http://schemas.openxmlformats.org/drawingml/2006/picture">
            <wp:extent cx="5400000" cy="3375000"/>
            <wp:docPr id="86" name="Picture 86"/>
            <wp:cNvGraphicFramePr>
              <a:graphicFrameLocks noChangeAspect="1"/>
            </wp:cNvGraphicFramePr>
            <a:graphic>
              <a:graphicData uri="http://schemas.openxmlformats.org/drawingml/2006/picture">
                <pic:pic>
                  <pic:nvPicPr>
                    <pic:cNvPr id="0" name="011-b7.png"/>
                    <pic:cNvPicPr/>
                  </pic:nvPicPr>
                  <pic:blipFill>
                    <a:blip r:embed="rId94"/>
                    <a:stretch>
                      <a:fillRect/>
                    </a:stretch>
                  </pic:blipFill>
                  <pic:spPr>
                    <a:xfrm>
                      <a:off x="0" y="0"/>
                      <a:ext cx="5400000" cy="3375000"/>
                    </a:xfrm>
                    <a:prstGeom prst="rect"/>
                  </pic:spPr>
                </pic:pic>
              </a:graphicData>
            </a:graphic>
          </wp:inline>
        </w:drawing>
      </w:r>
    </w:p>
    <w:p>
      <w:pPr>
        <w:spacing w:before="0" w:after="240"/>
      </w:pPr>
      <w:r>
        <w:rPr>
          <w:color w:val="565B6E"/>
          <w:sz w:val="18"/>
        </w:rPr>
        <w:t>Figure 3.86 : Les candidatures reçues par une entreprise</w:t>
      </w:r>
    </w:p>
    <w:p>
      <w:r>
        <w:rPr>
          <w:sz w:val="22"/>
        </w:rPr>
        <w:t>Les candidatures se filtrent par offre et par statut, et se trient par note au questionnaire. Les indicateurs en tête donnent le taux de réussite moyen et le nombre de dossiers en attente.</w:t>
      </w:r>
    </w:p>
    <w:p>
      <w:pPr>
        <w:keepNext/>
        <w:jc w:val="center"/>
      </w:pPr>
      <w:r>
        <w:drawing>
          <wp:inline xmlns:a="http://schemas.openxmlformats.org/drawingml/2006/main" xmlns:pic="http://schemas.openxmlformats.org/drawingml/2006/picture">
            <wp:extent cx="5400000" cy="3375000"/>
            <wp:docPr id="87" name="Picture 87"/>
            <wp:cNvGraphicFramePr>
              <a:graphicFrameLocks noChangeAspect="1"/>
            </wp:cNvGraphicFramePr>
            <a:graphic>
              <a:graphicData uri="http://schemas.openxmlformats.org/drawingml/2006/picture">
                <pic:pic>
                  <pic:nvPicPr>
                    <pic:cNvPr id="0" name="012-b7.png"/>
                    <pic:cNvPicPr/>
                  </pic:nvPicPr>
                  <pic:blipFill>
                    <a:blip r:embed="rId95"/>
                    <a:stretch>
                      <a:fillRect/>
                    </a:stretch>
                  </pic:blipFill>
                  <pic:spPr>
                    <a:xfrm>
                      <a:off x="0" y="0"/>
                      <a:ext cx="5400000" cy="3375000"/>
                    </a:xfrm>
                    <a:prstGeom prst="rect"/>
                  </pic:spPr>
                </pic:pic>
              </a:graphicData>
            </a:graphic>
          </wp:inline>
        </w:drawing>
      </w:r>
    </w:p>
    <w:p>
      <w:pPr>
        <w:spacing w:before="0" w:after="240"/>
      </w:pPr>
      <w:r>
        <w:rPr>
          <w:color w:val="565B6E"/>
          <w:sz w:val="18"/>
        </w:rPr>
        <w:t>Figure 3.87 : La recherche de profils par filière</w:t>
      </w:r>
    </w:p>
    <w:p>
      <w:r>
        <w:rPr>
          <w:sz w:val="22"/>
        </w:rPr>
        <w:t>La recherche porte sur le nom, la filière, la spécialisation et l'université. Chaque profil ouvre sur ses compétences, son CV et la messagerie.</w:t>
      </w:r>
    </w:p>
    <w:p>
      <w:pPr>
        <w:pStyle w:val="Heading3"/>
      </w:pPr>
      <w:r>
        <w:t>3.4.8  Le pilotage d'un établissement par promotions</w:t>
      </w:r>
    </w:p>
    <w:p>
      <w:r>
        <w:rPr>
          <w:sz w:val="22"/>
        </w:rPr>
        <w:t>L'Université d'Antananarivo suit plusieurs promotions, dont une promotion diplômée.</w:t>
      </w:r>
    </w:p>
    <w:p>
      <w:r>
        <w:rPr>
          <w:i/>
          <w:sz w:val="22"/>
        </w:rPr>
        <w:t>Acteurs : Université d'Antananarivo.</w:t>
      </w:r>
    </w:p>
    <w:p>
      <w:pPr>
        <w:keepNext/>
        <w:jc w:val="center"/>
      </w:pPr>
      <w:r>
        <w:drawing>
          <wp:inline xmlns:a="http://schemas.openxmlformats.org/drawingml/2006/main" xmlns:pic="http://schemas.openxmlformats.org/drawingml/2006/picture">
            <wp:extent cx="5400000" cy="3375000"/>
            <wp:docPr id="88" name="Picture 88"/>
            <wp:cNvGraphicFramePr>
              <a:graphicFrameLocks noChangeAspect="1"/>
            </wp:cNvGraphicFramePr>
            <a:graphic>
              <a:graphicData uri="http://schemas.openxmlformats.org/drawingml/2006/picture">
                <pic:pic>
                  <pic:nvPicPr>
                    <pic:cNvPr id="0" name="013-b8.png"/>
                    <pic:cNvPicPr/>
                  </pic:nvPicPr>
                  <pic:blipFill>
                    <a:blip r:embed="rId96"/>
                    <a:stretch>
                      <a:fillRect/>
                    </a:stretch>
                  </pic:blipFill>
                  <pic:spPr>
                    <a:xfrm>
                      <a:off x="0" y="0"/>
                      <a:ext cx="5400000" cy="3375000"/>
                    </a:xfrm>
                    <a:prstGeom prst="rect"/>
                  </pic:spPr>
                </pic:pic>
              </a:graphicData>
            </a:graphic>
          </wp:inline>
        </w:drawing>
      </w:r>
    </w:p>
    <w:p>
      <w:pPr>
        <w:spacing w:before="0" w:after="240"/>
      </w:pPr>
      <w:r>
        <w:rPr>
          <w:color w:val="565B6E"/>
          <w:sz w:val="18"/>
        </w:rPr>
        <w:t>Figure 3.88 : Le tableau de bord d'un établissement actif</w:t>
      </w:r>
    </w:p>
    <w:p>
      <w:r>
        <w:rPr>
          <w:sz w:val="22"/>
        </w:rPr>
        <w:t>Étudiants rattachés, demandes en attente, candidatures envoyées, stages obtenus : les indicateurs d'insertion de l'établissement.</w:t>
      </w:r>
    </w:p>
    <w:p>
      <w:pPr>
        <w:keepNext/>
        <w:jc w:val="center"/>
      </w:pPr>
      <w:r>
        <w:drawing>
          <wp:inline xmlns:a="http://schemas.openxmlformats.org/drawingml/2006/main" xmlns:pic="http://schemas.openxmlformats.org/drawingml/2006/picture">
            <wp:extent cx="5400000" cy="3375000"/>
            <wp:docPr id="89" name="Picture 89"/>
            <wp:cNvGraphicFramePr>
              <a:graphicFrameLocks noChangeAspect="1"/>
            </wp:cNvGraphicFramePr>
            <a:graphic>
              <a:graphicData uri="http://schemas.openxmlformats.org/drawingml/2006/picture">
                <pic:pic>
                  <pic:nvPicPr>
                    <pic:cNvPr id="0" name="014-b8.png"/>
                    <pic:cNvPicPr/>
                  </pic:nvPicPr>
                  <pic:blipFill>
                    <a:blip r:embed="rId97"/>
                    <a:stretch>
                      <a:fillRect/>
                    </a:stretch>
                  </pic:blipFill>
                  <pic:spPr>
                    <a:xfrm>
                      <a:off x="0" y="0"/>
                      <a:ext cx="5400000" cy="3375000"/>
                    </a:xfrm>
                    <a:prstGeom prst="rect"/>
                  </pic:spPr>
                </pic:pic>
              </a:graphicData>
            </a:graphic>
          </wp:inline>
        </w:drawing>
      </w:r>
    </w:p>
    <w:p>
      <w:pPr>
        <w:spacing w:before="0" w:after="240"/>
      </w:pPr>
      <w:r>
        <w:rPr>
          <w:color w:val="565B6E"/>
          <w:sz w:val="18"/>
        </w:rPr>
        <w:t>Figure 3.89 : Les étudiants organisés par promotion</w:t>
      </w:r>
    </w:p>
    <w:p>
      <w:r>
        <w:rPr>
          <w:sz w:val="22"/>
        </w:rPr>
        <w:t>Une liste de plusieurs centaines de noms ne se pilote pas ; quelques promotions, si. Pour chacune, l'effectif, les comptes restant à activer et le nombre d'étudiants en stage. Les anciens (diplômés ou sortis) sont séparés des actifs.</w:t>
      </w:r>
    </w:p>
    <w:p>
      <w:r>
        <w:br w:type="page"/>
      </w:r>
    </w:p>
    <w:p>
      <w:pPr>
        <w:pStyle w:val="Heading2"/>
      </w:pPr>
      <w:r>
        <w:t>3.5  Évaluation budgétaire prévisionnelle (COCOMO)</w:t>
      </w:r>
    </w:p>
    <w:p>
      <w:r>
        <w:rPr>
          <w:sz w:val="22"/>
        </w:rPr>
        <w:t>Un logiciel de cette ampleur représente un investissement. L'estimer avant de le réaliser permet de dimensionner l'équipe, le calendrier et le budget. Nous employons pour cela COCOMO (</w:t>
      </w:r>
      <w:r>
        <w:rPr>
          <w:i/>
          <w:sz w:val="22"/>
        </w:rPr>
        <w:t>Constructive Cost Model</w:t>
      </w:r>
      <w:r>
        <w:rPr>
          <w:sz w:val="22"/>
        </w:rPr>
        <w:t>), le modèle d'estimation paramétrique proposé par Barry Boehm en 1981, qui déduit l'effort de développement de la taille estimée du logiciel.</w:t>
      </w:r>
    </w:p>
    <w:p>
      <w:pPr>
        <w:pStyle w:val="Heading3"/>
      </w:pPr>
      <w:r>
        <w:t>3.5.1  Le modèle et sa variante</w:t>
      </w:r>
    </w:p>
    <w:p>
      <w:r>
        <w:rPr>
          <w:sz w:val="22"/>
        </w:rPr>
        <w:t xml:space="preserve">COCOMO existe en trois niveaux de détail (de base, intermédiaire, détaillé) et distingue trois modes de projet. Nous retenons le </w:t>
      </w:r>
      <w:r>
        <w:rPr>
          <w:b/>
          <w:sz w:val="22"/>
        </w:rPr>
        <w:t>niveau intermédiaire</w:t>
      </w:r>
      <w:r>
        <w:rPr>
          <w:sz w:val="22"/>
        </w:rPr>
        <w:t xml:space="preserve"> en </w:t>
      </w:r>
      <w:r>
        <w:rPr>
          <w:b/>
          <w:sz w:val="22"/>
        </w:rPr>
        <w:t>mode organique</w:t>
      </w:r>
      <w:r>
        <w:rPr>
          <w:sz w:val="22"/>
        </w:rPr>
        <w:t>.</w:t>
      </w:r>
    </w:p>
    <w:p>
      <w:pPr>
        <w:pStyle w:val="ListBullet"/>
        <w:spacing w:after="60"/>
      </w:pPr>
      <w:r>
        <w:rPr>
          <w:b/>
          <w:sz w:val="22"/>
        </w:rPr>
        <w:t>Mode organique</w:t>
      </w:r>
      <w:r>
        <w:rPr>
          <w:sz w:val="22"/>
        </w:rPr>
        <w:t xml:space="preserve"> : petite équipe, domaine bien compris, contraintes souples. C'est le cas d'une application web de gestion développée par une équipe réduite, sans matériel spécifique ni exigence de temps réel.</w:t>
      </w:r>
    </w:p>
    <w:p>
      <w:pPr>
        <w:pStyle w:val="ListBullet"/>
        <w:spacing w:after="60"/>
      </w:pPr>
      <w:r>
        <w:rPr>
          <w:b/>
          <w:sz w:val="22"/>
        </w:rPr>
        <w:t>Niveau intermédiaire</w:t>
      </w:r>
      <w:r>
        <w:rPr>
          <w:sz w:val="22"/>
        </w:rPr>
        <w:t xml:space="preserve"> : le niveau de base ignore tout ce qui distingue un projet d'un autre de même taille. Le niveau intermédiaire l'ajuste par quinze facteurs de coût : complexité du produit, expérience de l'équipe, outillage. Le niveau détaillé demanderait d'estimer ces facteurs phase par phase, ce qu'aucune donnée du projet ne permet de faire sérieusement.</w:t>
      </w:r>
    </w:p>
    <w:p>
      <w:r>
        <w:rPr>
          <w:sz w:val="22"/>
        </w:rPr>
        <w:t>Les formules du mode organique sont :</w:t>
      </w:r>
    </w:p>
    <w:p>
      <w:pPr>
        <w:spacing w:before="200" w:after="40"/>
        <w:ind w:left="567"/>
        <w:shd w:val="clear" w:color="auto" w:fill="F4F5F9"/>
        <w:pBdr>
          <w:left w:val="single" w:sz="18" w:space="8" w:color="31356E"/>
        </w:pBdr>
      </w:pPr>
      <w:r>
        <w:rPr>
          <w:rFonts w:ascii="Cambria Math" w:hAnsi="Cambria Math"/>
          <w:sz w:val="23"/>
        </w:rPr>
        <w:t>E = 3,2 × KLOC</w:t>
      </w:r>
      <w:r>
        <w:rPr>
          <w:rFonts w:ascii="Cambria Math" w:hAnsi="Cambria Math"/>
          <w:sz w:val="23"/>
          <w:vertAlign w:val="superscript"/>
        </w:rPr>
        <w:t>1,05</w:t>
      </w:r>
      <w:r>
        <w:rPr>
          <w:rFonts w:ascii="Cambria Math" w:hAnsi="Cambria Math"/>
          <w:sz w:val="23"/>
        </w:rPr>
        <w:t xml:space="preserve"> × EAF        (effort, en personnes-mois)</w:t>
      </w:r>
    </w:p>
    <w:p>
      <w:pPr>
        <w:spacing w:before="40" w:after="40"/>
        <w:ind w:left="567"/>
        <w:shd w:val="clear" w:color="auto" w:fill="F4F5F9"/>
        <w:pBdr>
          <w:left w:val="single" w:sz="18" w:space="8" w:color="31356E"/>
        </w:pBdr>
      </w:pPr>
      <w:r>
        <w:rPr>
          <w:rFonts w:ascii="Cambria Math" w:hAnsi="Cambria Math"/>
          <w:sz w:val="23"/>
        </w:rPr>
        <w:t>TDEV = 2,5 × E</w:t>
      </w:r>
      <w:r>
        <w:rPr>
          <w:rFonts w:ascii="Cambria Math" w:hAnsi="Cambria Math"/>
          <w:sz w:val="23"/>
          <w:vertAlign w:val="superscript"/>
        </w:rPr>
        <w:t>0,38</w:t>
      </w:r>
      <w:r>
        <w:rPr>
          <w:rFonts w:ascii="Cambria Math" w:hAnsi="Cambria Math"/>
          <w:sz w:val="23"/>
        </w:rPr>
        <w:t xml:space="preserve">               (délai, en mois)</w:t>
      </w:r>
    </w:p>
    <w:p>
      <w:pPr>
        <w:spacing w:before="40" w:after="200"/>
        <w:ind w:left="567"/>
        <w:shd w:val="clear" w:color="auto" w:fill="F4F5F9"/>
        <w:pBdr>
          <w:left w:val="single" w:sz="18" w:space="8" w:color="31356E"/>
        </w:pBdr>
      </w:pPr>
      <w:r>
        <w:rPr>
          <w:rFonts w:ascii="Cambria Math" w:hAnsi="Cambria Math"/>
          <w:sz w:val="23"/>
        </w:rPr>
        <w:t>P = E / TDEV                        (effectif moyen, en personnes)</w:t>
      </w:r>
    </w:p>
    <w:p>
      <w:r>
        <w:rPr>
          <w:sz w:val="22"/>
        </w:rPr>
        <w:t xml:space="preserve">où </w:t>
      </w:r>
      <w:r>
        <w:rPr>
          <w:b/>
          <w:sz w:val="22"/>
        </w:rPr>
        <w:t>KLOC</w:t>
      </w:r>
      <w:r>
        <w:rPr>
          <w:sz w:val="22"/>
        </w:rPr>
        <w:t xml:space="preserve"> est la taille en milliers de lignes de code source et </w:t>
      </w:r>
      <w:r>
        <w:rPr>
          <w:b/>
          <w:sz w:val="22"/>
        </w:rPr>
        <w:t>EAF</w:t>
      </w:r>
      <w:r>
        <w:rPr>
          <w:sz w:val="22"/>
        </w:rPr>
        <w:t xml:space="preserve"> (</w:t>
      </w:r>
      <w:r>
        <w:rPr>
          <w:i/>
          <w:sz w:val="22"/>
        </w:rPr>
        <w:t>Effort Adjustment Factor</w:t>
      </w:r>
      <w:r>
        <w:rPr>
          <w:sz w:val="22"/>
        </w:rPr>
        <w:t>) le produit des quinze multiplicateurs de coût.</w:t>
      </w:r>
    </w:p>
    <w:p>
      <w:pPr>
        <w:pStyle w:val="Heading3"/>
      </w:pPr>
      <w:r>
        <w:t>3.5.2  Estimation de la taille</w:t>
      </w:r>
    </w:p>
    <w:p>
      <w:r>
        <w:rPr>
          <w:sz w:val="22"/>
        </w:rPr>
        <w:t xml:space="preserve">La taille est la donnée d'entrée du modèle, et la plus incertaine avant réalisation. Nous l'estimons par </w:t>
      </w:r>
      <w:r>
        <w:rPr>
          <w:b/>
          <w:sz w:val="22"/>
        </w:rPr>
        <w:t>décomposition fonctionnelle</w:t>
      </w:r>
      <w:r>
        <w:rPr>
          <w:sz w:val="22"/>
        </w:rPr>
        <w:t xml:space="preserve"> : le périmètre décrit au chapitre 2 est découpé en neuf modules, et chacun reçoit trois estimations (optimiste, probable, pessimiste). L'espérance de chaque module suit la méthode PERT :</w:t>
      </w:r>
    </w:p>
    <w:p>
      <w:pPr>
        <w:spacing w:before="200" w:after="200"/>
        <w:ind w:left="567"/>
        <w:shd w:val="clear" w:color="auto" w:fill="F4F5F9"/>
        <w:pBdr>
          <w:left w:val="single" w:sz="18" w:space="8" w:color="31356E"/>
        </w:pBdr>
      </w:pPr>
      <w:r>
        <w:rPr>
          <w:rFonts w:ascii="Cambria Math" w:hAnsi="Cambria Math"/>
          <w:sz w:val="23"/>
        </w:rPr>
        <w:t>Taille = (O + 4 × P + S) / 6          écart-type = (S − O) / 6</w:t>
      </w:r>
    </w:p>
    <w:p>
      <w:pPr>
        <w:spacing w:before="160" w:after="80"/>
      </w:pPr>
      <w:r>
        <w:rPr>
          <w:color w:val="565B6E"/>
          <w:sz w:val="18"/>
        </w:rPr>
        <w:t>Tableau 3.04 : Estimation de la taille par module (en KLOC)</w:t>
      </w:r>
    </w:p>
    <w:tbl>
      <w:tblPr>
        <w:tblStyle w:val="TableGrid"/>
        <w:tblW w:type="auto" w:w="0"/>
        <w:jc w:val="left"/>
        <w:tblLook w:firstColumn="1" w:firstRow="1" w:lastColumn="0" w:lastRow="0" w:noHBand="0" w:noVBand="1" w:val="04A0"/>
      </w:tblPr>
      <w:tblGrid>
        <w:gridCol w:w="1768"/>
        <w:gridCol w:w="1768"/>
        <w:gridCol w:w="1768"/>
        <w:gridCol w:w="1768"/>
        <w:gridCol w:w="1768"/>
      </w:tblGrid>
      <w:tr>
        <w:tc>
          <w:tcPr>
            <w:tcW w:type="dxa" w:w="5102"/>
            <w:shd w:val="clear" w:color="auto" w:fill="E2E5EE"/>
          </w:tcPr>
          <w:p>
            <w:pPr>
              <w:spacing w:after="40"/>
            </w:pPr>
            <w:r/>
            <w:r>
              <w:rPr>
                <w:b/>
                <w:sz w:val="19"/>
              </w:rPr>
              <w:t>Module</w:t>
            </w:r>
          </w:p>
        </w:tc>
        <w:tc>
          <w:tcPr>
            <w:tcW w:type="dxa" w:w="794"/>
            <w:shd w:val="clear" w:color="auto" w:fill="E2E5EE"/>
          </w:tcPr>
          <w:p>
            <w:pPr>
              <w:spacing w:after="40"/>
            </w:pPr>
            <w:r/>
            <w:r>
              <w:rPr>
                <w:b/>
                <w:sz w:val="19"/>
              </w:rPr>
              <w:t>O</w:t>
            </w:r>
          </w:p>
        </w:tc>
        <w:tc>
          <w:tcPr>
            <w:tcW w:type="dxa" w:w="794"/>
            <w:shd w:val="clear" w:color="auto" w:fill="E2E5EE"/>
          </w:tcPr>
          <w:p>
            <w:pPr>
              <w:spacing w:after="40"/>
            </w:pPr>
            <w:r/>
            <w:r>
              <w:rPr>
                <w:b/>
                <w:sz w:val="19"/>
              </w:rPr>
              <w:t>P</w:t>
            </w:r>
          </w:p>
        </w:tc>
        <w:tc>
          <w:tcPr>
            <w:tcW w:type="dxa" w:w="794"/>
            <w:shd w:val="clear" w:color="auto" w:fill="E2E5EE"/>
          </w:tcPr>
          <w:p>
            <w:pPr>
              <w:spacing w:after="40"/>
            </w:pPr>
            <w:r/>
            <w:r>
              <w:rPr>
                <w:b/>
                <w:sz w:val="19"/>
              </w:rPr>
              <w:t>S</w:t>
            </w:r>
          </w:p>
        </w:tc>
        <w:tc>
          <w:tcPr>
            <w:tcW w:type="dxa" w:w="1020"/>
            <w:shd w:val="clear" w:color="auto" w:fill="E2E5EE"/>
          </w:tcPr>
          <w:p>
            <w:pPr>
              <w:spacing w:after="40"/>
            </w:pPr>
            <w:r/>
            <w:r>
              <w:rPr>
                <w:b/>
                <w:sz w:val="19"/>
              </w:rPr>
              <w:t>Espérance</w:t>
            </w:r>
          </w:p>
        </w:tc>
      </w:tr>
      <w:tr>
        <w:tc>
          <w:tcPr>
            <w:tcW w:type="dxa" w:w="5102"/>
          </w:tcPr>
          <w:p>
            <w:pPr>
              <w:spacing w:after="40"/>
            </w:pPr>
            <w:r>
              <w:rPr>
                <w:b/>
                <w:sz w:val="19"/>
              </w:rPr>
              <w:t>Comptes, authentification et sécurité</w:t>
            </w:r>
            <w:r>
              <w:rPr>
                <w:sz w:val="19"/>
              </w:rPr>
              <w:t xml:space="preserve"> : inscriptions des trois publics, connexions, jetons d'activation, mots de passe</w:t>
            </w:r>
          </w:p>
        </w:tc>
        <w:tc>
          <w:tcPr>
            <w:tcW w:type="dxa" w:w="794"/>
          </w:tcPr>
          <w:p>
            <w:pPr>
              <w:spacing w:after="40"/>
              <w:jc w:val="right"/>
            </w:pPr>
            <w:r>
              <w:rPr>
                <w:sz w:val="19"/>
              </w:rPr>
              <w:t>1,5</w:t>
            </w:r>
          </w:p>
        </w:tc>
        <w:tc>
          <w:tcPr>
            <w:tcW w:type="dxa" w:w="794"/>
          </w:tcPr>
          <w:p>
            <w:pPr>
              <w:spacing w:after="40"/>
              <w:jc w:val="right"/>
            </w:pPr>
            <w:r>
              <w:rPr>
                <w:sz w:val="19"/>
              </w:rPr>
              <w:t>2,5</w:t>
            </w:r>
          </w:p>
        </w:tc>
        <w:tc>
          <w:tcPr>
            <w:tcW w:type="dxa" w:w="794"/>
          </w:tcPr>
          <w:p>
            <w:pPr>
              <w:spacing w:after="40"/>
              <w:jc w:val="right"/>
            </w:pPr>
            <w:r>
              <w:rPr>
                <w:sz w:val="19"/>
              </w:rPr>
              <w:t>4,0</w:t>
            </w:r>
          </w:p>
        </w:tc>
        <w:tc>
          <w:tcPr>
            <w:tcW w:type="dxa" w:w="1020"/>
          </w:tcPr>
          <w:p>
            <w:pPr>
              <w:spacing w:after="40"/>
              <w:jc w:val="right"/>
            </w:pPr>
            <w:r>
              <w:rPr>
                <w:sz w:val="19"/>
              </w:rPr>
              <w:t>2,58</w:t>
            </w:r>
          </w:p>
        </w:tc>
      </w:tr>
      <w:tr>
        <w:tc>
          <w:tcPr>
            <w:tcW w:type="dxa" w:w="5102"/>
          </w:tcPr>
          <w:p>
            <w:pPr>
              <w:spacing w:after="40"/>
            </w:pPr>
            <w:r>
              <w:rPr>
                <w:b/>
                <w:sz w:val="19"/>
              </w:rPr>
              <w:t>Profil étudiant, CV et lecture automatique</w:t>
            </w:r>
            <w:r>
              <w:rPr>
                <w:sz w:val="19"/>
              </w:rPr>
              <w:t xml:space="preserve"> : profil, bibliothèque de CV, extraction du texte, OCR, détection des compétences</w:t>
            </w:r>
          </w:p>
        </w:tc>
        <w:tc>
          <w:tcPr>
            <w:tcW w:type="dxa" w:w="794"/>
          </w:tcPr>
          <w:p>
            <w:pPr>
              <w:spacing w:after="40"/>
              <w:jc w:val="right"/>
            </w:pPr>
            <w:r>
              <w:rPr>
                <w:sz w:val="19"/>
              </w:rPr>
              <w:t>2,0</w:t>
            </w:r>
          </w:p>
        </w:tc>
        <w:tc>
          <w:tcPr>
            <w:tcW w:type="dxa" w:w="794"/>
          </w:tcPr>
          <w:p>
            <w:pPr>
              <w:spacing w:after="40"/>
              <w:jc w:val="right"/>
            </w:pPr>
            <w:r>
              <w:rPr>
                <w:sz w:val="19"/>
              </w:rPr>
              <w:t>3,5</w:t>
            </w:r>
          </w:p>
        </w:tc>
        <w:tc>
          <w:tcPr>
            <w:tcW w:type="dxa" w:w="794"/>
          </w:tcPr>
          <w:p>
            <w:pPr>
              <w:spacing w:after="40"/>
              <w:jc w:val="right"/>
            </w:pPr>
            <w:r>
              <w:rPr>
                <w:sz w:val="19"/>
              </w:rPr>
              <w:t>5,0</w:t>
            </w:r>
          </w:p>
        </w:tc>
        <w:tc>
          <w:tcPr>
            <w:tcW w:type="dxa" w:w="1020"/>
          </w:tcPr>
          <w:p>
            <w:pPr>
              <w:spacing w:after="40"/>
              <w:jc w:val="right"/>
            </w:pPr>
            <w:r>
              <w:rPr>
                <w:sz w:val="19"/>
              </w:rPr>
              <w:t>3,50</w:t>
            </w:r>
          </w:p>
        </w:tc>
      </w:tr>
      <w:tr>
        <w:tc>
          <w:tcPr>
            <w:tcW w:type="dxa" w:w="5102"/>
          </w:tcPr>
          <w:p>
            <w:pPr>
              <w:spacing w:after="40"/>
            </w:pPr>
            <w:r>
              <w:rPr>
                <w:b/>
                <w:sz w:val="19"/>
              </w:rPr>
              <w:t>Offres, questionnaires et candidatures</w:t>
            </w:r>
            <w:r>
              <w:rPr>
                <w:sz w:val="19"/>
              </w:rPr>
              <w:t xml:space="preserve"> : publication, questionnaire de présélection, dépôt et suivi des candidatures</w:t>
            </w:r>
          </w:p>
        </w:tc>
        <w:tc>
          <w:tcPr>
            <w:tcW w:type="dxa" w:w="794"/>
          </w:tcPr>
          <w:p>
            <w:pPr>
              <w:spacing w:after="40"/>
              <w:jc w:val="right"/>
            </w:pPr>
            <w:r>
              <w:rPr>
                <w:sz w:val="19"/>
              </w:rPr>
              <w:t>2,5</w:t>
            </w:r>
          </w:p>
        </w:tc>
        <w:tc>
          <w:tcPr>
            <w:tcW w:type="dxa" w:w="794"/>
          </w:tcPr>
          <w:p>
            <w:pPr>
              <w:spacing w:after="40"/>
              <w:jc w:val="right"/>
            </w:pPr>
            <w:r>
              <w:rPr>
                <w:sz w:val="19"/>
              </w:rPr>
              <w:t>4,0</w:t>
            </w:r>
          </w:p>
        </w:tc>
        <w:tc>
          <w:tcPr>
            <w:tcW w:type="dxa" w:w="794"/>
          </w:tcPr>
          <w:p>
            <w:pPr>
              <w:spacing w:after="40"/>
              <w:jc w:val="right"/>
            </w:pPr>
            <w:r>
              <w:rPr>
                <w:sz w:val="19"/>
              </w:rPr>
              <w:t>6,0</w:t>
            </w:r>
          </w:p>
        </w:tc>
        <w:tc>
          <w:tcPr>
            <w:tcW w:type="dxa" w:w="1020"/>
          </w:tcPr>
          <w:p>
            <w:pPr>
              <w:spacing w:after="40"/>
              <w:jc w:val="right"/>
            </w:pPr>
            <w:r>
              <w:rPr>
                <w:sz w:val="19"/>
              </w:rPr>
              <w:t>4,08</w:t>
            </w:r>
          </w:p>
        </w:tc>
      </w:tr>
      <w:tr>
        <w:tc>
          <w:tcPr>
            <w:tcW w:type="dxa" w:w="5102"/>
          </w:tcPr>
          <w:p>
            <w:pPr>
              <w:spacing w:after="40"/>
            </w:pPr>
            <w:r>
              <w:rPr>
                <w:b/>
                <w:sz w:val="19"/>
              </w:rPr>
              <w:t>Moteur d'appariement</w:t>
            </w:r>
            <w:r>
              <w:rPr>
                <w:sz w:val="19"/>
              </w:rPr>
              <w:t xml:space="preserve"> : recommandations, similarité entre compétences, candidats suggérés, conseiller</w:t>
            </w:r>
          </w:p>
        </w:tc>
        <w:tc>
          <w:tcPr>
            <w:tcW w:type="dxa" w:w="794"/>
          </w:tcPr>
          <w:p>
            <w:pPr>
              <w:spacing w:after="40"/>
              <w:jc w:val="right"/>
            </w:pPr>
            <w:r>
              <w:rPr>
                <w:sz w:val="19"/>
              </w:rPr>
              <w:t>1,0</w:t>
            </w:r>
          </w:p>
        </w:tc>
        <w:tc>
          <w:tcPr>
            <w:tcW w:type="dxa" w:w="794"/>
          </w:tcPr>
          <w:p>
            <w:pPr>
              <w:spacing w:after="40"/>
              <w:jc w:val="right"/>
            </w:pPr>
            <w:r>
              <w:rPr>
                <w:sz w:val="19"/>
              </w:rPr>
              <w:t>2,0</w:t>
            </w:r>
          </w:p>
        </w:tc>
        <w:tc>
          <w:tcPr>
            <w:tcW w:type="dxa" w:w="794"/>
          </w:tcPr>
          <w:p>
            <w:pPr>
              <w:spacing w:after="40"/>
              <w:jc w:val="right"/>
            </w:pPr>
            <w:r>
              <w:rPr>
                <w:sz w:val="19"/>
              </w:rPr>
              <w:t>3,5</w:t>
            </w:r>
          </w:p>
        </w:tc>
        <w:tc>
          <w:tcPr>
            <w:tcW w:type="dxa" w:w="1020"/>
          </w:tcPr>
          <w:p>
            <w:pPr>
              <w:spacing w:after="40"/>
              <w:jc w:val="right"/>
            </w:pPr>
            <w:r>
              <w:rPr>
                <w:sz w:val="19"/>
              </w:rPr>
              <w:t>2,08</w:t>
            </w:r>
          </w:p>
        </w:tc>
      </w:tr>
      <w:tr>
        <w:tc>
          <w:tcPr>
            <w:tcW w:type="dxa" w:w="5102"/>
          </w:tcPr>
          <w:p>
            <w:pPr>
              <w:spacing w:after="40"/>
            </w:pPr>
            <w:r>
              <w:rPr>
                <w:b/>
                <w:sz w:val="19"/>
              </w:rPr>
              <w:t>Espace établissement</w:t>
            </w:r>
            <w:r>
              <w:rPr>
                <w:sz w:val="19"/>
              </w:rPr>
              <w:t xml:space="preserve"> : rattachements, promotions, import, cycle de vie, annonces de cohorte</w:t>
            </w:r>
          </w:p>
        </w:tc>
        <w:tc>
          <w:tcPr>
            <w:tcW w:type="dxa" w:w="794"/>
          </w:tcPr>
          <w:p>
            <w:pPr>
              <w:spacing w:after="40"/>
              <w:jc w:val="right"/>
            </w:pPr>
            <w:r>
              <w:rPr>
                <w:sz w:val="19"/>
              </w:rPr>
              <w:t>1,5</w:t>
            </w:r>
          </w:p>
        </w:tc>
        <w:tc>
          <w:tcPr>
            <w:tcW w:type="dxa" w:w="794"/>
          </w:tcPr>
          <w:p>
            <w:pPr>
              <w:spacing w:after="40"/>
              <w:jc w:val="right"/>
            </w:pPr>
            <w:r>
              <w:rPr>
                <w:sz w:val="19"/>
              </w:rPr>
              <w:t>2,5</w:t>
            </w:r>
          </w:p>
        </w:tc>
        <w:tc>
          <w:tcPr>
            <w:tcW w:type="dxa" w:w="794"/>
          </w:tcPr>
          <w:p>
            <w:pPr>
              <w:spacing w:after="40"/>
              <w:jc w:val="right"/>
            </w:pPr>
            <w:r>
              <w:rPr>
                <w:sz w:val="19"/>
              </w:rPr>
              <w:t>4,0</w:t>
            </w:r>
          </w:p>
        </w:tc>
        <w:tc>
          <w:tcPr>
            <w:tcW w:type="dxa" w:w="1020"/>
          </w:tcPr>
          <w:p>
            <w:pPr>
              <w:spacing w:after="40"/>
              <w:jc w:val="right"/>
            </w:pPr>
            <w:r>
              <w:rPr>
                <w:sz w:val="19"/>
              </w:rPr>
              <w:t>2,58</w:t>
            </w:r>
          </w:p>
        </w:tc>
      </w:tr>
      <w:tr>
        <w:tc>
          <w:tcPr>
            <w:tcW w:type="dxa" w:w="5102"/>
          </w:tcPr>
          <w:p>
            <w:pPr>
              <w:spacing w:after="40"/>
            </w:pPr>
            <w:r>
              <w:rPr>
                <w:b/>
                <w:sz w:val="19"/>
              </w:rPr>
              <w:t>Administration et statistiques</w:t>
            </w:r>
            <w:r>
              <w:rPr>
                <w:sz w:val="19"/>
              </w:rPr>
              <w:t xml:space="preserve"> : vérification des comptes, tableaux de bord, file de courriels</w:t>
            </w:r>
          </w:p>
        </w:tc>
        <w:tc>
          <w:tcPr>
            <w:tcW w:type="dxa" w:w="794"/>
          </w:tcPr>
          <w:p>
            <w:pPr>
              <w:spacing w:after="40"/>
              <w:jc w:val="right"/>
            </w:pPr>
            <w:r>
              <w:rPr>
                <w:sz w:val="19"/>
              </w:rPr>
              <w:t>0,8</w:t>
            </w:r>
          </w:p>
        </w:tc>
        <w:tc>
          <w:tcPr>
            <w:tcW w:type="dxa" w:w="794"/>
          </w:tcPr>
          <w:p>
            <w:pPr>
              <w:spacing w:after="40"/>
              <w:jc w:val="right"/>
            </w:pPr>
            <w:r>
              <w:rPr>
                <w:sz w:val="19"/>
              </w:rPr>
              <w:t>1,5</w:t>
            </w:r>
          </w:p>
        </w:tc>
        <w:tc>
          <w:tcPr>
            <w:tcW w:type="dxa" w:w="794"/>
          </w:tcPr>
          <w:p>
            <w:pPr>
              <w:spacing w:after="40"/>
              <w:jc w:val="right"/>
            </w:pPr>
            <w:r>
              <w:rPr>
                <w:sz w:val="19"/>
              </w:rPr>
              <w:t>2,5</w:t>
            </w:r>
          </w:p>
        </w:tc>
        <w:tc>
          <w:tcPr>
            <w:tcW w:type="dxa" w:w="1020"/>
          </w:tcPr>
          <w:p>
            <w:pPr>
              <w:spacing w:after="40"/>
              <w:jc w:val="right"/>
            </w:pPr>
            <w:r>
              <w:rPr>
                <w:sz w:val="19"/>
              </w:rPr>
              <w:t>1,55</w:t>
            </w:r>
          </w:p>
        </w:tc>
      </w:tr>
      <w:tr>
        <w:tc>
          <w:tcPr>
            <w:tcW w:type="dxa" w:w="5102"/>
          </w:tcPr>
          <w:p>
            <w:pPr>
              <w:spacing w:after="40"/>
            </w:pPr>
            <w:r>
              <w:rPr>
                <w:b/>
                <w:sz w:val="19"/>
              </w:rPr>
              <w:t>Messagerie et notifications</w:t>
            </w:r>
            <w:r>
              <w:rPr>
                <w:sz w:val="19"/>
              </w:rPr>
              <w:t xml:space="preserve"> : conversations internes, courriels sortants</w:t>
            </w:r>
          </w:p>
        </w:tc>
        <w:tc>
          <w:tcPr>
            <w:tcW w:type="dxa" w:w="794"/>
          </w:tcPr>
          <w:p>
            <w:pPr>
              <w:spacing w:after="40"/>
              <w:jc w:val="right"/>
            </w:pPr>
            <w:r>
              <w:rPr>
                <w:sz w:val="19"/>
              </w:rPr>
              <w:t>0,8</w:t>
            </w:r>
          </w:p>
        </w:tc>
        <w:tc>
          <w:tcPr>
            <w:tcW w:type="dxa" w:w="794"/>
          </w:tcPr>
          <w:p>
            <w:pPr>
              <w:spacing w:after="40"/>
              <w:jc w:val="right"/>
            </w:pPr>
            <w:r>
              <w:rPr>
                <w:sz w:val="19"/>
              </w:rPr>
              <w:t>1,5</w:t>
            </w:r>
          </w:p>
        </w:tc>
        <w:tc>
          <w:tcPr>
            <w:tcW w:type="dxa" w:w="794"/>
          </w:tcPr>
          <w:p>
            <w:pPr>
              <w:spacing w:after="40"/>
              <w:jc w:val="right"/>
            </w:pPr>
            <w:r>
              <w:rPr>
                <w:sz w:val="19"/>
              </w:rPr>
              <w:t>2,5</w:t>
            </w:r>
          </w:p>
        </w:tc>
        <w:tc>
          <w:tcPr>
            <w:tcW w:type="dxa" w:w="1020"/>
          </w:tcPr>
          <w:p>
            <w:pPr>
              <w:spacing w:after="40"/>
              <w:jc w:val="right"/>
            </w:pPr>
            <w:r>
              <w:rPr>
                <w:sz w:val="19"/>
              </w:rPr>
              <w:t>1,55</w:t>
            </w:r>
          </w:p>
        </w:tc>
      </w:tr>
      <w:tr>
        <w:tc>
          <w:tcPr>
            <w:tcW w:type="dxa" w:w="5102"/>
          </w:tcPr>
          <w:p>
            <w:pPr>
              <w:spacing w:after="40"/>
            </w:pPr>
            <w:r>
              <w:rPr>
                <w:b/>
                <w:sz w:val="19"/>
              </w:rPr>
              <w:t>Interface commune et mise en forme</w:t>
            </w:r>
            <w:r>
              <w:rPr>
                <w:sz w:val="19"/>
              </w:rPr>
              <w:t xml:space="preserve"> : navigation, composants partagés, styles des écrans</w:t>
            </w:r>
          </w:p>
        </w:tc>
        <w:tc>
          <w:tcPr>
            <w:tcW w:type="dxa" w:w="794"/>
          </w:tcPr>
          <w:p>
            <w:pPr>
              <w:spacing w:after="40"/>
              <w:jc w:val="right"/>
            </w:pPr>
            <w:r>
              <w:rPr>
                <w:sz w:val="19"/>
              </w:rPr>
              <w:t>2,0</w:t>
            </w:r>
          </w:p>
        </w:tc>
        <w:tc>
          <w:tcPr>
            <w:tcW w:type="dxa" w:w="794"/>
          </w:tcPr>
          <w:p>
            <w:pPr>
              <w:spacing w:after="40"/>
              <w:jc w:val="right"/>
            </w:pPr>
            <w:r>
              <w:rPr>
                <w:sz w:val="19"/>
              </w:rPr>
              <w:t>4,0</w:t>
            </w:r>
          </w:p>
        </w:tc>
        <w:tc>
          <w:tcPr>
            <w:tcW w:type="dxa" w:w="794"/>
          </w:tcPr>
          <w:p>
            <w:pPr>
              <w:spacing w:after="40"/>
              <w:jc w:val="right"/>
            </w:pPr>
            <w:r>
              <w:rPr>
                <w:sz w:val="19"/>
              </w:rPr>
              <w:t>6,0</w:t>
            </w:r>
          </w:p>
        </w:tc>
        <w:tc>
          <w:tcPr>
            <w:tcW w:type="dxa" w:w="1020"/>
          </w:tcPr>
          <w:p>
            <w:pPr>
              <w:spacing w:after="40"/>
              <w:jc w:val="right"/>
            </w:pPr>
            <w:r>
              <w:rPr>
                <w:sz w:val="19"/>
              </w:rPr>
              <w:t>4,00</w:t>
            </w:r>
          </w:p>
        </w:tc>
      </w:tr>
      <w:tr>
        <w:tc>
          <w:tcPr>
            <w:tcW w:type="dxa" w:w="5102"/>
          </w:tcPr>
          <w:p>
            <w:pPr>
              <w:spacing w:after="40"/>
            </w:pPr>
            <w:r>
              <w:rPr>
                <w:b/>
                <w:sz w:val="19"/>
              </w:rPr>
              <w:t>Base de données et exploitation</w:t>
            </w:r>
            <w:r>
              <w:rPr>
                <w:sz w:val="19"/>
              </w:rPr>
              <w:t xml:space="preserve"> : schéma, migrations, scripts d'installation et de sauvegarde</w:t>
            </w:r>
          </w:p>
        </w:tc>
        <w:tc>
          <w:tcPr>
            <w:tcW w:type="dxa" w:w="794"/>
          </w:tcPr>
          <w:p>
            <w:pPr>
              <w:spacing w:after="40"/>
              <w:jc w:val="right"/>
            </w:pPr>
            <w:r>
              <w:rPr>
                <w:sz w:val="19"/>
              </w:rPr>
              <w:t>0,5</w:t>
            </w:r>
          </w:p>
        </w:tc>
        <w:tc>
          <w:tcPr>
            <w:tcW w:type="dxa" w:w="794"/>
          </w:tcPr>
          <w:p>
            <w:pPr>
              <w:spacing w:after="40"/>
              <w:jc w:val="right"/>
            </w:pPr>
            <w:r>
              <w:rPr>
                <w:sz w:val="19"/>
              </w:rPr>
              <w:t>1,0</w:t>
            </w:r>
          </w:p>
        </w:tc>
        <w:tc>
          <w:tcPr>
            <w:tcW w:type="dxa" w:w="794"/>
          </w:tcPr>
          <w:p>
            <w:pPr>
              <w:spacing w:after="40"/>
              <w:jc w:val="right"/>
            </w:pPr>
            <w:r>
              <w:rPr>
                <w:sz w:val="19"/>
              </w:rPr>
              <w:t>2,0</w:t>
            </w:r>
          </w:p>
        </w:tc>
        <w:tc>
          <w:tcPr>
            <w:tcW w:type="dxa" w:w="1020"/>
          </w:tcPr>
          <w:p>
            <w:pPr>
              <w:spacing w:after="40"/>
              <w:jc w:val="right"/>
            </w:pPr>
            <w:r>
              <w:rPr>
                <w:sz w:val="19"/>
              </w:rPr>
              <w:t>1,08</w:t>
            </w:r>
          </w:p>
        </w:tc>
      </w:tr>
      <w:tr>
        <w:tc>
          <w:tcPr>
            <w:tcW w:type="dxa" w:w="5102"/>
          </w:tcPr>
          <w:p>
            <w:pPr>
              <w:spacing w:after="40"/>
            </w:pPr>
            <w:r>
              <w:rPr>
                <w:b/>
                <w:sz w:val="19"/>
              </w:rPr>
              <w:t>Total</w:t>
            </w:r>
          </w:p>
        </w:tc>
        <w:tc>
          <w:tcPr>
            <w:tcW w:type="dxa" w:w="794"/>
          </w:tcPr>
          <w:p>
            <w:pPr>
              <w:spacing w:after="40"/>
              <w:jc w:val="right"/>
            </w:pPr>
          </w:p>
        </w:tc>
        <w:tc>
          <w:tcPr>
            <w:tcW w:type="dxa" w:w="794"/>
          </w:tcPr>
          <w:p>
            <w:pPr>
              <w:spacing w:after="40"/>
              <w:jc w:val="right"/>
            </w:pPr>
          </w:p>
        </w:tc>
        <w:tc>
          <w:tcPr>
            <w:tcW w:type="dxa" w:w="794"/>
          </w:tcPr>
          <w:p>
            <w:pPr>
              <w:spacing w:after="40"/>
              <w:jc w:val="right"/>
            </w:pPr>
          </w:p>
        </w:tc>
        <w:tc>
          <w:tcPr>
            <w:tcW w:type="dxa" w:w="1020"/>
          </w:tcPr>
          <w:p>
            <w:pPr>
              <w:spacing w:after="40"/>
              <w:jc w:val="right"/>
            </w:pPr>
            <w:r>
              <w:rPr>
                <w:b/>
                <w:sz w:val="19"/>
              </w:rPr>
              <w:t>23,0</w:t>
            </w:r>
          </w:p>
        </w:tc>
      </w:tr>
    </w:tbl>
    <w:p>
      <w:pPr>
        <w:spacing w:after="40"/>
      </w:pPr>
    </w:p>
    <w:p>
      <w:r>
        <w:rPr>
          <w:sz w:val="22"/>
        </w:rPr>
        <w:t xml:space="preserve">La taille prévisionnelle est de </w:t>
      </w:r>
      <w:r>
        <w:rPr>
          <w:b/>
          <w:sz w:val="22"/>
        </w:rPr>
        <w:t>23,0 KLOC</w:t>
      </w:r>
      <w:r>
        <w:rPr>
          <w:sz w:val="22"/>
        </w:rPr>
        <w:t>, soit environ 23 000 lignes de code. Les modules étant supposés indépendants, les variances s'additionnent : l'écart-type sur le total est de 1,3 KLOC.</w:t>
      </w:r>
    </w:p>
    <w:p>
      <w:pPr>
        <w:pStyle w:val="Heading3"/>
      </w:pPr>
      <w:r>
        <w:t>3.5.3  Les facteurs d'ajustement</w:t>
      </w:r>
    </w:p>
    <w:p>
      <w:r>
        <w:rPr>
          <w:sz w:val="22"/>
        </w:rPr>
        <w:t>Chaque facteur est coté de « très faible » à « extra-élevé » ; la valeur correspondante, tirée des tables de Boehm, multiplie l'effort. Une cotation nominale vaut 1 et ne change rien.</w:t>
      </w:r>
    </w:p>
    <w:p>
      <w:pPr>
        <w:spacing w:before="160" w:after="80"/>
      </w:pPr>
      <w:r>
        <w:rPr>
          <w:color w:val="565B6E"/>
          <w:sz w:val="18"/>
        </w:rPr>
        <w:t>Tableau 3.05 : Cotation des quinze facteurs de coût</w:t>
      </w:r>
    </w:p>
    <w:tbl>
      <w:tblPr>
        <w:tblStyle w:val="TableGrid"/>
        <w:tblW w:type="auto" w:w="0"/>
        <w:jc w:val="left"/>
        <w:tblLook w:firstColumn="1" w:firstRow="1" w:lastColumn="0" w:lastRow="0" w:noHBand="0" w:noVBand="1" w:val="04A0"/>
      </w:tblPr>
      <w:tblGrid>
        <w:gridCol w:w="2209"/>
        <w:gridCol w:w="2209"/>
        <w:gridCol w:w="2209"/>
        <w:gridCol w:w="2209"/>
      </w:tblGrid>
      <w:tr>
        <w:tc>
          <w:tcPr>
            <w:tcW w:type="dxa" w:w="2608"/>
            <w:shd w:val="clear" w:color="auto" w:fill="E2E5EE"/>
          </w:tcPr>
          <w:p>
            <w:pPr>
              <w:spacing w:after="40"/>
            </w:pPr>
            <w:r/>
            <w:r>
              <w:rPr>
                <w:b/>
                <w:sz w:val="19"/>
              </w:rPr>
              <w:t>Facteur</w:t>
            </w:r>
          </w:p>
        </w:tc>
        <w:tc>
          <w:tcPr>
            <w:tcW w:type="dxa" w:w="1077"/>
            <w:shd w:val="clear" w:color="auto" w:fill="E2E5EE"/>
          </w:tcPr>
          <w:p>
            <w:pPr>
              <w:spacing w:after="40"/>
            </w:pPr>
            <w:r/>
            <w:r>
              <w:rPr>
                <w:b/>
                <w:sz w:val="19"/>
              </w:rPr>
              <w:t>Cotation</w:t>
            </w:r>
          </w:p>
        </w:tc>
        <w:tc>
          <w:tcPr>
            <w:tcW w:type="dxa" w:w="794"/>
            <w:shd w:val="clear" w:color="auto" w:fill="E2E5EE"/>
          </w:tcPr>
          <w:p>
            <w:pPr>
              <w:spacing w:after="40"/>
            </w:pPr>
            <w:r/>
            <w:r>
              <w:rPr>
                <w:b/>
                <w:sz w:val="19"/>
              </w:rPr>
              <w:t>Valeur</w:t>
            </w:r>
          </w:p>
        </w:tc>
        <w:tc>
          <w:tcPr>
            <w:tcW w:type="dxa" w:w="4025"/>
            <w:shd w:val="clear" w:color="auto" w:fill="E2E5EE"/>
          </w:tcPr>
          <w:p>
            <w:pPr>
              <w:spacing w:after="40"/>
            </w:pPr>
            <w:r/>
            <w:r>
              <w:rPr>
                <w:b/>
                <w:sz w:val="19"/>
              </w:rPr>
              <w:t>Justification</w:t>
            </w:r>
          </w:p>
        </w:tc>
      </w:tr>
      <w:tr>
        <w:tc>
          <w:tcPr>
            <w:tcW w:type="dxa" w:w="2608"/>
          </w:tcPr>
          <w:p>
            <w:pPr>
              <w:spacing w:after="40"/>
            </w:pPr>
            <w:r>
              <w:rPr>
                <w:b/>
                <w:sz w:val="19"/>
              </w:rPr>
              <w:t>RELY</w:t>
            </w:r>
            <w:r>
              <w:rPr>
                <w:sz w:val="19"/>
              </w:rPr>
              <w:t xml:space="preserve"> : Fiabilité requise</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Une panne gêne les utilisateurs sans mettre en jeu de sécurité ni de sommes importantes.</w:t>
            </w:r>
          </w:p>
        </w:tc>
      </w:tr>
      <w:tr>
        <w:tc>
          <w:tcPr>
            <w:tcW w:type="dxa" w:w="2608"/>
          </w:tcPr>
          <w:p>
            <w:pPr>
              <w:spacing w:after="40"/>
            </w:pPr>
            <w:r>
              <w:rPr>
                <w:b/>
                <w:sz w:val="19"/>
              </w:rPr>
              <w:t>DATA</w:t>
            </w:r>
            <w:r>
              <w:rPr>
                <w:sz w:val="19"/>
              </w:rPr>
              <w:t xml:space="preserve"> : Taille de la base de données</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Le volume de données reste modeste rapporté à la taille du programme.</w:t>
            </w:r>
          </w:p>
        </w:tc>
      </w:tr>
      <w:tr>
        <w:tc>
          <w:tcPr>
            <w:tcW w:type="dxa" w:w="2608"/>
          </w:tcPr>
          <w:p>
            <w:pPr>
              <w:spacing w:after="40"/>
            </w:pPr>
            <w:r>
              <w:rPr>
                <w:b/>
                <w:sz w:val="19"/>
              </w:rPr>
              <w:t>CPLX</w:t>
            </w:r>
            <w:r>
              <w:rPr>
                <w:sz w:val="19"/>
              </w:rPr>
              <w:t xml:space="preserve"> : Complexité du produit</w:t>
            </w:r>
          </w:p>
        </w:tc>
        <w:tc>
          <w:tcPr>
            <w:tcW w:type="dxa" w:w="1077"/>
          </w:tcPr>
          <w:p>
            <w:pPr>
              <w:spacing w:after="40"/>
            </w:pPr>
            <w:r>
              <w:rPr>
                <w:sz w:val="19"/>
              </w:rPr>
              <w:t>Élevée</w:t>
            </w:r>
          </w:p>
        </w:tc>
        <w:tc>
          <w:tcPr>
            <w:tcW w:type="dxa" w:w="794"/>
          </w:tcPr>
          <w:p>
            <w:pPr>
              <w:spacing w:after="40"/>
              <w:jc w:val="right"/>
            </w:pPr>
            <w:r>
              <w:rPr>
                <w:sz w:val="19"/>
              </w:rPr>
              <w:t>1,15</w:t>
            </w:r>
          </w:p>
        </w:tc>
        <w:tc>
          <w:tcPr>
            <w:tcW w:type="dxa" w:w="4025"/>
          </w:tcPr>
          <w:p>
            <w:pPr>
              <w:spacing w:after="40"/>
            </w:pPr>
            <w:r>
              <w:rPr>
                <w:sz w:val="19"/>
              </w:rPr>
              <w:t>Lecture de documents numérisés, mesure de similarité apprise, calculs de recommandation.</w:t>
            </w:r>
          </w:p>
        </w:tc>
      </w:tr>
      <w:tr>
        <w:tc>
          <w:tcPr>
            <w:tcW w:type="dxa" w:w="2608"/>
          </w:tcPr>
          <w:p>
            <w:pPr>
              <w:spacing w:after="40"/>
            </w:pPr>
            <w:r>
              <w:rPr>
                <w:b/>
                <w:sz w:val="19"/>
              </w:rPr>
              <w:t>TIME</w:t>
            </w:r>
            <w:r>
              <w:rPr>
                <w:sz w:val="19"/>
              </w:rPr>
              <w:t xml:space="preserve"> : Contrainte de temps d'exécution</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Aucune exigence de temps réel.</w:t>
            </w:r>
          </w:p>
        </w:tc>
      </w:tr>
      <w:tr>
        <w:tc>
          <w:tcPr>
            <w:tcW w:type="dxa" w:w="2608"/>
          </w:tcPr>
          <w:p>
            <w:pPr>
              <w:spacing w:after="40"/>
            </w:pPr>
            <w:r>
              <w:rPr>
                <w:b/>
                <w:sz w:val="19"/>
              </w:rPr>
              <w:t>STOR</w:t>
            </w:r>
            <w:r>
              <w:rPr>
                <w:sz w:val="19"/>
              </w:rPr>
              <w:t xml:space="preserve"> : Contrainte de mémoire</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Serveur standard, sans limite particulière.</w:t>
            </w:r>
          </w:p>
        </w:tc>
      </w:tr>
      <w:tr>
        <w:tc>
          <w:tcPr>
            <w:tcW w:type="dxa" w:w="2608"/>
          </w:tcPr>
          <w:p>
            <w:pPr>
              <w:spacing w:after="40"/>
            </w:pPr>
            <w:r>
              <w:rPr>
                <w:b/>
                <w:sz w:val="19"/>
              </w:rPr>
              <w:t>VIRT</w:t>
            </w:r>
            <w:r>
              <w:rPr>
                <w:sz w:val="19"/>
              </w:rPr>
              <w:t xml:space="preserve"> : Volatilité de la plateforme</w:t>
            </w:r>
          </w:p>
        </w:tc>
        <w:tc>
          <w:tcPr>
            <w:tcW w:type="dxa" w:w="1077"/>
          </w:tcPr>
          <w:p>
            <w:pPr>
              <w:spacing w:after="40"/>
            </w:pPr>
            <w:r>
              <w:rPr>
                <w:sz w:val="19"/>
              </w:rPr>
              <w:t>Faible</w:t>
            </w:r>
          </w:p>
        </w:tc>
        <w:tc>
          <w:tcPr>
            <w:tcW w:type="dxa" w:w="794"/>
          </w:tcPr>
          <w:p>
            <w:pPr>
              <w:spacing w:after="40"/>
              <w:jc w:val="right"/>
            </w:pPr>
            <w:r>
              <w:rPr>
                <w:sz w:val="19"/>
              </w:rPr>
              <w:t>0,87</w:t>
            </w:r>
          </w:p>
        </w:tc>
        <w:tc>
          <w:tcPr>
            <w:tcW w:type="dxa" w:w="4025"/>
          </w:tcPr>
          <w:p>
            <w:pPr>
              <w:spacing w:after="40"/>
            </w:pPr>
            <w:r>
              <w:rPr>
                <w:sz w:val="19"/>
              </w:rPr>
              <w:t>Next.js, Node.js et PostgreSQL sont stables sur la durée du projet.</w:t>
            </w:r>
          </w:p>
        </w:tc>
      </w:tr>
      <w:tr>
        <w:tc>
          <w:tcPr>
            <w:tcW w:type="dxa" w:w="2608"/>
          </w:tcPr>
          <w:p>
            <w:pPr>
              <w:spacing w:after="40"/>
            </w:pPr>
            <w:r>
              <w:rPr>
                <w:b/>
                <w:sz w:val="19"/>
              </w:rPr>
              <w:t>TURN</w:t>
            </w:r>
            <w:r>
              <w:rPr>
                <w:sz w:val="19"/>
              </w:rPr>
              <w:t xml:space="preserve"> : Délai de restitution</w:t>
            </w:r>
          </w:p>
        </w:tc>
        <w:tc>
          <w:tcPr>
            <w:tcW w:type="dxa" w:w="1077"/>
          </w:tcPr>
          <w:p>
            <w:pPr>
              <w:spacing w:after="40"/>
            </w:pPr>
            <w:r>
              <w:rPr>
                <w:sz w:val="19"/>
              </w:rPr>
              <w:t>Faible</w:t>
            </w:r>
          </w:p>
        </w:tc>
        <w:tc>
          <w:tcPr>
            <w:tcW w:type="dxa" w:w="794"/>
          </w:tcPr>
          <w:p>
            <w:pPr>
              <w:spacing w:after="40"/>
              <w:jc w:val="right"/>
            </w:pPr>
            <w:r>
              <w:rPr>
                <w:sz w:val="19"/>
              </w:rPr>
              <w:t>0,87</w:t>
            </w:r>
          </w:p>
        </w:tc>
        <w:tc>
          <w:tcPr>
            <w:tcW w:type="dxa" w:w="4025"/>
          </w:tcPr>
          <w:p>
            <w:pPr>
              <w:spacing w:after="40"/>
            </w:pPr>
            <w:r>
              <w:rPr>
                <w:sz w:val="19"/>
              </w:rPr>
              <w:t>Développement interactif : chaque modification se voit immédiatement.</w:t>
            </w:r>
          </w:p>
        </w:tc>
      </w:tr>
      <w:tr>
        <w:tc>
          <w:tcPr>
            <w:tcW w:type="dxa" w:w="2608"/>
          </w:tcPr>
          <w:p>
            <w:pPr>
              <w:spacing w:after="40"/>
            </w:pPr>
            <w:r>
              <w:rPr>
                <w:b/>
                <w:sz w:val="19"/>
              </w:rPr>
              <w:t>ACAP</w:t>
            </w:r>
            <w:r>
              <w:rPr>
                <w:sz w:val="19"/>
              </w:rPr>
              <w:t xml:space="preserve"> : Aptitude des analystes</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Étudiants de Master formés à la modélisation.</w:t>
            </w:r>
          </w:p>
        </w:tc>
      </w:tr>
      <w:tr>
        <w:tc>
          <w:tcPr>
            <w:tcW w:type="dxa" w:w="2608"/>
          </w:tcPr>
          <w:p>
            <w:pPr>
              <w:spacing w:after="40"/>
            </w:pPr>
            <w:r>
              <w:rPr>
                <w:b/>
                <w:sz w:val="19"/>
              </w:rPr>
              <w:t>AEXP</w:t>
            </w:r>
            <w:r>
              <w:rPr>
                <w:sz w:val="19"/>
              </w:rPr>
              <w:t xml:space="preserve"> : Expérience du domaine d'application</w:t>
            </w:r>
          </w:p>
        </w:tc>
        <w:tc>
          <w:tcPr>
            <w:tcW w:type="dxa" w:w="1077"/>
          </w:tcPr>
          <w:p>
            <w:pPr>
              <w:spacing w:after="40"/>
            </w:pPr>
            <w:r>
              <w:rPr>
                <w:sz w:val="19"/>
              </w:rPr>
              <w:t>Faible</w:t>
            </w:r>
          </w:p>
        </w:tc>
        <w:tc>
          <w:tcPr>
            <w:tcW w:type="dxa" w:w="794"/>
          </w:tcPr>
          <w:p>
            <w:pPr>
              <w:spacing w:after="40"/>
              <w:jc w:val="right"/>
            </w:pPr>
            <w:r>
              <w:rPr>
                <w:sz w:val="19"/>
              </w:rPr>
              <w:t>1,13</w:t>
            </w:r>
          </w:p>
        </w:tc>
        <w:tc>
          <w:tcPr>
            <w:tcW w:type="dxa" w:w="4025"/>
          </w:tcPr>
          <w:p>
            <w:pPr>
              <w:spacing w:after="40"/>
            </w:pPr>
            <w:r>
              <w:rPr>
                <w:sz w:val="19"/>
              </w:rPr>
              <w:t>Première plateforme de mise en relation et de recommandation conçue par l'équipe.</w:t>
            </w:r>
          </w:p>
        </w:tc>
      </w:tr>
      <w:tr>
        <w:tc>
          <w:tcPr>
            <w:tcW w:type="dxa" w:w="2608"/>
          </w:tcPr>
          <w:p>
            <w:pPr>
              <w:spacing w:after="40"/>
            </w:pPr>
            <w:r>
              <w:rPr>
                <w:b/>
                <w:sz w:val="19"/>
              </w:rPr>
              <w:t>PCAP</w:t>
            </w:r>
            <w:r>
              <w:rPr>
                <w:sz w:val="19"/>
              </w:rPr>
              <w:t xml:space="preserve"> : Aptitude des programmeurs</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Niveau de fin de cursus.</w:t>
            </w:r>
          </w:p>
        </w:tc>
      </w:tr>
      <w:tr>
        <w:tc>
          <w:tcPr>
            <w:tcW w:type="dxa" w:w="2608"/>
          </w:tcPr>
          <w:p>
            <w:pPr>
              <w:spacing w:after="40"/>
            </w:pPr>
            <w:r>
              <w:rPr>
                <w:b/>
                <w:sz w:val="19"/>
              </w:rPr>
              <w:t>VEXP</w:t>
            </w:r>
            <w:r>
              <w:rPr>
                <w:sz w:val="19"/>
              </w:rPr>
              <w:t xml:space="preserve"> : Expérience de la plateforme</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Pratique courante du web et de Node.js.</w:t>
            </w:r>
          </w:p>
        </w:tc>
      </w:tr>
      <w:tr>
        <w:tc>
          <w:tcPr>
            <w:tcW w:type="dxa" w:w="2608"/>
          </w:tcPr>
          <w:p>
            <w:pPr>
              <w:spacing w:after="40"/>
            </w:pPr>
            <w:r>
              <w:rPr>
                <w:b/>
                <w:sz w:val="19"/>
              </w:rPr>
              <w:t>LEXP</w:t>
            </w:r>
            <w:r>
              <w:rPr>
                <w:sz w:val="19"/>
              </w:rPr>
              <w:t xml:space="preserve"> : Expérience du langage</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JavaScript et SQL sont les langages de la formation.</w:t>
            </w:r>
          </w:p>
        </w:tc>
      </w:tr>
      <w:tr>
        <w:tc>
          <w:tcPr>
            <w:tcW w:type="dxa" w:w="2608"/>
          </w:tcPr>
          <w:p>
            <w:pPr>
              <w:spacing w:after="40"/>
            </w:pPr>
            <w:r>
              <w:rPr>
                <w:b/>
                <w:sz w:val="19"/>
              </w:rPr>
              <w:t>MODP</w:t>
            </w:r>
            <w:r>
              <w:rPr>
                <w:sz w:val="19"/>
              </w:rPr>
              <w:t xml:space="preserve"> : Pratiques de programmation modernes</w:t>
            </w:r>
          </w:p>
        </w:tc>
        <w:tc>
          <w:tcPr>
            <w:tcW w:type="dxa" w:w="1077"/>
          </w:tcPr>
          <w:p>
            <w:pPr>
              <w:spacing w:after="40"/>
            </w:pPr>
            <w:r>
              <w:rPr>
                <w:sz w:val="19"/>
              </w:rPr>
              <w:t>Élevée</w:t>
            </w:r>
          </w:p>
        </w:tc>
        <w:tc>
          <w:tcPr>
            <w:tcW w:type="dxa" w:w="794"/>
          </w:tcPr>
          <w:p>
            <w:pPr>
              <w:spacing w:after="40"/>
              <w:jc w:val="right"/>
            </w:pPr>
            <w:r>
              <w:rPr>
                <w:sz w:val="19"/>
              </w:rPr>
              <w:t>0,91</w:t>
            </w:r>
          </w:p>
        </w:tc>
        <w:tc>
          <w:tcPr>
            <w:tcW w:type="dxa" w:w="4025"/>
          </w:tcPr>
          <w:p>
            <w:pPr>
              <w:spacing w:after="40"/>
            </w:pPr>
            <w:r>
              <w:rPr>
                <w:sz w:val="19"/>
              </w:rPr>
              <w:t>Versionnement, migrations de schéma, relectures, scripts de vérification.</w:t>
            </w:r>
          </w:p>
        </w:tc>
      </w:tr>
      <w:tr>
        <w:tc>
          <w:tcPr>
            <w:tcW w:type="dxa" w:w="2608"/>
          </w:tcPr>
          <w:p>
            <w:pPr>
              <w:spacing w:after="40"/>
            </w:pPr>
            <w:r>
              <w:rPr>
                <w:b/>
                <w:sz w:val="19"/>
              </w:rPr>
              <w:t>TOOL</w:t>
            </w:r>
            <w:r>
              <w:rPr>
                <w:sz w:val="19"/>
              </w:rPr>
              <w:t xml:space="preserve"> : Outils logiciels</w:t>
            </w:r>
          </w:p>
        </w:tc>
        <w:tc>
          <w:tcPr>
            <w:tcW w:type="dxa" w:w="1077"/>
          </w:tcPr>
          <w:p>
            <w:pPr>
              <w:spacing w:after="40"/>
            </w:pPr>
            <w:r>
              <w:rPr>
                <w:sz w:val="19"/>
              </w:rPr>
              <w:t>Élevée</w:t>
            </w:r>
          </w:p>
        </w:tc>
        <w:tc>
          <w:tcPr>
            <w:tcW w:type="dxa" w:w="794"/>
          </w:tcPr>
          <w:p>
            <w:pPr>
              <w:spacing w:after="40"/>
              <w:jc w:val="right"/>
            </w:pPr>
            <w:r>
              <w:rPr>
                <w:sz w:val="19"/>
              </w:rPr>
              <w:t>0,91</w:t>
            </w:r>
          </w:p>
        </w:tc>
        <w:tc>
          <w:tcPr>
            <w:tcW w:type="dxa" w:w="4025"/>
          </w:tcPr>
          <w:p>
            <w:pPr>
              <w:spacing w:after="40"/>
            </w:pPr>
            <w:r>
              <w:rPr>
                <w:sz w:val="19"/>
              </w:rPr>
              <w:t>Environnement de développement intégré, cadriciel, conteneurs, tests automatisés du navigateur.</w:t>
            </w:r>
          </w:p>
        </w:tc>
      </w:tr>
      <w:tr>
        <w:tc>
          <w:tcPr>
            <w:tcW w:type="dxa" w:w="2608"/>
          </w:tcPr>
          <w:p>
            <w:pPr>
              <w:spacing w:after="40"/>
            </w:pPr>
            <w:r>
              <w:rPr>
                <w:b/>
                <w:sz w:val="19"/>
              </w:rPr>
              <w:t>SCED</w:t>
            </w:r>
            <w:r>
              <w:rPr>
                <w:sz w:val="19"/>
              </w:rPr>
              <w:t xml:space="preserve"> : Contrainte de délai</w:t>
            </w:r>
          </w:p>
        </w:tc>
        <w:tc>
          <w:tcPr>
            <w:tcW w:type="dxa" w:w="1077"/>
          </w:tcPr>
          <w:p>
            <w:pPr>
              <w:spacing w:after="40"/>
            </w:pPr>
            <w:r>
              <w:rPr>
                <w:sz w:val="19"/>
              </w:rPr>
              <w:t>Nominale</w:t>
            </w:r>
          </w:p>
        </w:tc>
        <w:tc>
          <w:tcPr>
            <w:tcW w:type="dxa" w:w="794"/>
          </w:tcPr>
          <w:p>
            <w:pPr>
              <w:spacing w:after="40"/>
              <w:jc w:val="right"/>
            </w:pPr>
            <w:r>
              <w:rPr>
                <w:sz w:val="19"/>
              </w:rPr>
              <w:t>1,00</w:t>
            </w:r>
          </w:p>
        </w:tc>
        <w:tc>
          <w:tcPr>
            <w:tcW w:type="dxa" w:w="4025"/>
          </w:tcPr>
          <w:p>
            <w:pPr>
              <w:spacing w:after="40"/>
            </w:pPr>
            <w:r>
              <w:rPr>
                <w:sz w:val="19"/>
              </w:rPr>
              <w:t>Calendrier universitaire ordinaire, sans compression imposée.</w:t>
            </w:r>
          </w:p>
        </w:tc>
      </w:tr>
    </w:tbl>
    <w:p>
      <w:pPr>
        <w:spacing w:after="40"/>
      </w:pPr>
    </w:p>
    <w:p>
      <w:r>
        <w:rPr>
          <w:sz w:val="22"/>
        </w:rPr>
        <w:t xml:space="preserve">Le produit des quinze multiplicateurs donne </w:t>
      </w:r>
      <w:r>
        <w:rPr>
          <w:b/>
          <w:sz w:val="22"/>
        </w:rPr>
        <w:t>EAF = 0,815</w:t>
      </w:r>
      <w:r>
        <w:rPr>
          <w:sz w:val="22"/>
        </w:rPr>
        <w:t>. Deux facteurs alourdissent l'effort, la complexité du produit et l'inexpérience du domaine; quatre l'allègent : une plateforme stable, un développement interactif, des pratiques et des outils modernes. Le bilan est favorable : l'équipe et son outillage compensent la difficulté du produit.</w:t>
      </w:r>
    </w:p>
    <w:p>
      <w:pPr>
        <w:pStyle w:val="Heading3"/>
      </w:pPr>
      <w:r>
        <w:t>3.5.4  Effort, délai et effectif prévisionnels</w:t>
      </w:r>
    </w:p>
    <w:p>
      <w:pPr>
        <w:spacing w:before="200" w:after="40"/>
        <w:ind w:left="567"/>
        <w:shd w:val="clear" w:color="auto" w:fill="F4F5F9"/>
        <w:pBdr>
          <w:left w:val="single" w:sz="18" w:space="8" w:color="31356E"/>
        </w:pBdr>
      </w:pPr>
      <w:r>
        <w:rPr>
          <w:rFonts w:ascii="Cambria Math" w:hAnsi="Cambria Math"/>
          <w:sz w:val="23"/>
        </w:rPr>
        <w:t>E = 3,2 × 23,0</w:t>
      </w:r>
      <w:r>
        <w:rPr>
          <w:rFonts w:ascii="Cambria Math" w:hAnsi="Cambria Math"/>
          <w:sz w:val="23"/>
          <w:vertAlign w:val="superscript"/>
        </w:rPr>
        <w:t>1,05</w:t>
      </w:r>
      <w:r>
        <w:rPr>
          <w:rFonts w:ascii="Cambria Math" w:hAnsi="Cambria Math"/>
          <w:sz w:val="23"/>
        </w:rPr>
        <w:t xml:space="preserve"> × 0,815 = 70,2 personnes-mois</w:t>
      </w:r>
    </w:p>
    <w:p>
      <w:pPr>
        <w:spacing w:before="40" w:after="40"/>
        <w:ind w:left="567"/>
        <w:shd w:val="clear" w:color="auto" w:fill="F4F5F9"/>
        <w:pBdr>
          <w:left w:val="single" w:sz="18" w:space="8" w:color="31356E"/>
        </w:pBdr>
      </w:pPr>
      <w:r>
        <w:rPr>
          <w:rFonts w:ascii="Cambria Math" w:hAnsi="Cambria Math"/>
          <w:sz w:val="23"/>
        </w:rPr>
        <w:t>TDEV = 2,5 × 70,2</w:t>
      </w:r>
      <w:r>
        <w:rPr>
          <w:rFonts w:ascii="Cambria Math" w:hAnsi="Cambria Math"/>
          <w:sz w:val="23"/>
          <w:vertAlign w:val="superscript"/>
        </w:rPr>
        <w:t>0,38</w:t>
      </w:r>
      <w:r>
        <w:rPr>
          <w:rFonts w:ascii="Cambria Math" w:hAnsi="Cambria Math"/>
          <w:sz w:val="23"/>
        </w:rPr>
        <w:t xml:space="preserve"> = 12,6 mois</w:t>
      </w:r>
    </w:p>
    <w:p>
      <w:pPr>
        <w:spacing w:before="40" w:after="200"/>
        <w:ind w:left="567"/>
        <w:shd w:val="clear" w:color="auto" w:fill="F4F5F9"/>
        <w:pBdr>
          <w:left w:val="single" w:sz="18" w:space="8" w:color="31356E"/>
        </w:pBdr>
      </w:pPr>
      <w:r>
        <w:rPr>
          <w:rFonts w:ascii="Cambria Math" w:hAnsi="Cambria Math"/>
          <w:sz w:val="23"/>
        </w:rPr>
        <w:t>P = 70,2 / 12,6 = 5,6 personnes</w:t>
      </w:r>
    </w:p>
    <w:p>
      <w:r>
        <w:rPr>
          <w:sz w:val="22"/>
        </w:rPr>
        <w:t xml:space="preserve">Selon le modèle, le logiciel demanderait </w:t>
      </w:r>
      <w:r>
        <w:rPr>
          <w:b/>
          <w:sz w:val="22"/>
        </w:rPr>
        <w:t>70 personnes-mois</w:t>
      </w:r>
      <w:r>
        <w:rPr>
          <w:sz w:val="22"/>
        </w:rPr>
        <w:t xml:space="preserve">, réparties sur </w:t>
      </w:r>
      <w:r>
        <w:rPr>
          <w:b/>
          <w:sz w:val="22"/>
        </w:rPr>
        <w:t>12,6 mois</w:t>
      </w:r>
      <w:r>
        <w:rPr>
          <w:sz w:val="22"/>
        </w:rPr>
        <w:t xml:space="preserve"> avec une équipe moyenne de </w:t>
      </w:r>
      <w:r>
        <w:rPr>
          <w:b/>
          <w:sz w:val="22"/>
        </w:rPr>
        <w:t>5,6 personnes</w:t>
      </w:r>
      <w:r>
        <w:rPr>
          <w:sz w:val="22"/>
        </w:rPr>
        <w:t>, soit une productivité de 328 lignes par personne-mois.</w:t>
      </w:r>
    </w:p>
    <w:p>
      <w:pPr>
        <w:pStyle w:val="Heading3"/>
      </w:pPr>
      <w:r>
        <w:t>3.5.5  Coût prévisionnel</w:t>
      </w:r>
    </w:p>
    <w:p>
      <w:r>
        <w:rPr>
          <w:sz w:val="22"/>
        </w:rPr>
        <w:t xml:space="preserve">Le coût de main-d'œuvre est l'effort multiplié par le coût mensuel chargé d'un développeur : salaire, charges sociales et poste de travail. Nous retenons </w:t>
      </w:r>
      <w:r>
        <w:rPr>
          <w:b/>
          <w:sz w:val="22"/>
        </w:rPr>
        <w:t>1,5 M Ar par mois</w:t>
      </w:r>
      <w:r>
        <w:rPr>
          <w:sz w:val="22"/>
        </w:rPr>
        <w:t>, ordre de grandeur pour un profil junior à Antananarivo. S'y ajoutent les frais d'hébergement et de nom de domaine sur la durée du projet.</w:t>
      </w:r>
    </w:p>
    <w:p>
      <w:pPr>
        <w:spacing w:before="160" w:after="80"/>
      </w:pPr>
      <w:r>
        <w:rPr>
          <w:color w:val="565B6E"/>
          <w:sz w:val="18"/>
        </w:rPr>
        <w:t>Tableau 3.06 : Budget prévisionnel</w:t>
      </w:r>
    </w:p>
    <w:tbl>
      <w:tblPr>
        <w:tblStyle w:val="TableGrid"/>
        <w:tblW w:type="auto" w:w="0"/>
        <w:jc w:val="left"/>
        <w:tblLook w:firstColumn="1" w:firstRow="1" w:lastColumn="0" w:lastRow="0" w:noHBand="0" w:noVBand="1" w:val="04A0"/>
      </w:tblPr>
      <w:tblGrid>
        <w:gridCol w:w="2946"/>
        <w:gridCol w:w="2946"/>
        <w:gridCol w:w="2946"/>
      </w:tblGrid>
      <w:tr>
        <w:tc>
          <w:tcPr>
            <w:tcW w:type="dxa" w:w="3402"/>
            <w:shd w:val="clear" w:color="auto" w:fill="E2E5EE"/>
          </w:tcPr>
          <w:p>
            <w:pPr>
              <w:spacing w:after="40"/>
            </w:pPr>
            <w:r/>
            <w:r>
              <w:rPr>
                <w:b/>
                <w:sz w:val="19"/>
              </w:rPr>
              <w:t>Poste</w:t>
            </w:r>
          </w:p>
        </w:tc>
        <w:tc>
          <w:tcPr>
            <w:tcW w:type="dxa" w:w="3118"/>
            <w:shd w:val="clear" w:color="auto" w:fill="E2E5EE"/>
          </w:tcPr>
          <w:p>
            <w:pPr>
              <w:spacing w:after="40"/>
            </w:pPr>
            <w:r/>
            <w:r>
              <w:rPr>
                <w:b/>
                <w:sz w:val="19"/>
              </w:rPr>
              <w:t>Calcul</w:t>
            </w:r>
          </w:p>
        </w:tc>
        <w:tc>
          <w:tcPr>
            <w:tcW w:type="dxa" w:w="1984"/>
            <w:shd w:val="clear" w:color="auto" w:fill="E2E5EE"/>
          </w:tcPr>
          <w:p>
            <w:pPr>
              <w:spacing w:after="40"/>
            </w:pPr>
            <w:r/>
            <w:r>
              <w:rPr>
                <w:b/>
                <w:sz w:val="19"/>
              </w:rPr>
              <w:t>Montant</w:t>
            </w:r>
          </w:p>
        </w:tc>
      </w:tr>
      <w:tr>
        <w:tc>
          <w:tcPr>
            <w:tcW w:type="dxa" w:w="3402"/>
          </w:tcPr>
          <w:p>
            <w:pPr>
              <w:spacing w:after="40"/>
            </w:pPr>
            <w:r>
              <w:rPr>
                <w:sz w:val="19"/>
              </w:rPr>
              <w:t>Main-d'œuvre</w:t>
            </w:r>
          </w:p>
        </w:tc>
        <w:tc>
          <w:tcPr>
            <w:tcW w:type="dxa" w:w="3118"/>
          </w:tcPr>
          <w:p>
            <w:pPr>
              <w:spacing w:after="40"/>
            </w:pPr>
            <w:r>
              <w:rPr>
                <w:sz w:val="19"/>
              </w:rPr>
              <w:t>70,2 pers.-mois × 1,5 M Ar</w:t>
            </w:r>
          </w:p>
        </w:tc>
        <w:tc>
          <w:tcPr>
            <w:tcW w:type="dxa" w:w="1984"/>
          </w:tcPr>
          <w:p>
            <w:pPr>
              <w:spacing w:after="40"/>
              <w:jc w:val="right"/>
            </w:pPr>
            <w:r>
              <w:rPr>
                <w:sz w:val="19"/>
              </w:rPr>
              <w:t>105,3 M Ar</w:t>
            </w:r>
          </w:p>
        </w:tc>
      </w:tr>
      <w:tr>
        <w:tc>
          <w:tcPr>
            <w:tcW w:type="dxa" w:w="3402"/>
          </w:tcPr>
          <w:p>
            <w:pPr>
              <w:spacing w:after="40"/>
            </w:pPr>
            <w:r>
              <w:rPr>
                <w:sz w:val="19"/>
              </w:rPr>
              <w:t>Hébergement (serveur privé virtuel), par mois</w:t>
            </w:r>
          </w:p>
        </w:tc>
        <w:tc>
          <w:tcPr>
            <w:tcW w:type="dxa" w:w="3118"/>
          </w:tcPr>
          <w:p>
            <w:pPr>
              <w:spacing w:after="40"/>
            </w:pPr>
            <w:r>
              <w:rPr>
                <w:sz w:val="19"/>
              </w:rPr>
              <w:t>60 000 Ar × 12,6 mois</w:t>
            </w:r>
          </w:p>
        </w:tc>
        <w:tc>
          <w:tcPr>
            <w:tcW w:type="dxa" w:w="1984"/>
          </w:tcPr>
          <w:p>
            <w:pPr>
              <w:spacing w:after="40"/>
              <w:jc w:val="right"/>
            </w:pPr>
            <w:r>
              <w:rPr>
                <w:sz w:val="19"/>
              </w:rPr>
              <w:t>754 474 Ar</w:t>
            </w:r>
          </w:p>
        </w:tc>
      </w:tr>
      <w:tr>
        <w:tc>
          <w:tcPr>
            <w:tcW w:type="dxa" w:w="3402"/>
          </w:tcPr>
          <w:p>
            <w:pPr>
              <w:spacing w:after="40"/>
            </w:pPr>
            <w:r>
              <w:rPr>
                <w:sz w:val="19"/>
              </w:rPr>
              <w:t>Nom de domaine et certificat, par an</w:t>
            </w:r>
          </w:p>
        </w:tc>
        <w:tc>
          <w:tcPr>
            <w:tcW w:type="dxa" w:w="3118"/>
          </w:tcPr>
          <w:p>
            <w:pPr>
              <w:spacing w:after="40"/>
            </w:pPr>
            <w:r>
              <w:rPr>
                <w:sz w:val="19"/>
              </w:rPr>
              <w:t>forfait</w:t>
            </w:r>
          </w:p>
        </w:tc>
        <w:tc>
          <w:tcPr>
            <w:tcW w:type="dxa" w:w="1984"/>
          </w:tcPr>
          <w:p>
            <w:pPr>
              <w:spacing w:after="40"/>
              <w:jc w:val="right"/>
            </w:pPr>
            <w:r>
              <w:rPr>
                <w:sz w:val="19"/>
              </w:rPr>
              <w:t>80 000 Ar</w:t>
            </w:r>
          </w:p>
        </w:tc>
      </w:tr>
      <w:tr>
        <w:tc>
          <w:tcPr>
            <w:tcW w:type="dxa" w:w="3402"/>
          </w:tcPr>
          <w:p>
            <w:pPr>
              <w:spacing w:after="40"/>
            </w:pPr>
            <w:r>
              <w:rPr>
                <w:b/>
                <w:sz w:val="19"/>
              </w:rPr>
              <w:t>Total</w:t>
            </w:r>
          </w:p>
        </w:tc>
        <w:tc>
          <w:tcPr>
            <w:tcW w:type="dxa" w:w="3118"/>
          </w:tcPr>
          <w:p>
            <w:pPr>
              <w:spacing w:after="40"/>
            </w:pPr>
          </w:p>
        </w:tc>
        <w:tc>
          <w:tcPr>
            <w:tcW w:type="dxa" w:w="1984"/>
          </w:tcPr>
          <w:p>
            <w:pPr>
              <w:spacing w:after="40"/>
              <w:jc w:val="right"/>
            </w:pPr>
            <w:r>
              <w:rPr>
                <w:b/>
                <w:sz w:val="19"/>
              </w:rPr>
              <w:t>106,1 M Ar</w:t>
            </w:r>
          </w:p>
        </w:tc>
      </w:tr>
    </w:tbl>
    <w:p>
      <w:pPr>
        <w:spacing w:after="40"/>
      </w:pPr>
    </w:p>
    <w:p>
      <w:r>
        <w:rPr>
          <w:sz w:val="22"/>
        </w:rPr>
        <w:t>Le coût mensuel étant une hypothèse, le tableau suivant montre comment le budget varie avec lui. L'ordre de grandeur, lui, ne change pas : le projet représente un investissement de l'ordre de la centaine de millions d'ariary.</w:t>
      </w:r>
    </w:p>
    <w:p>
      <w:pPr>
        <w:spacing w:before="160" w:after="80"/>
      </w:pPr>
      <w:r>
        <w:rPr>
          <w:color w:val="565B6E"/>
          <w:sz w:val="18"/>
        </w:rPr>
        <w:t>Tableau 3.07 : Sensibilité du budget au coût mensuel</w:t>
      </w:r>
    </w:p>
    <w:tbl>
      <w:tblPr>
        <w:tblStyle w:val="TableGrid"/>
        <w:tblW w:type="auto" w:w="0"/>
        <w:jc w:val="left"/>
        <w:tblLook w:firstColumn="1" w:firstRow="1" w:lastColumn="0" w:lastRow="0" w:noHBand="0" w:noVBand="1" w:val="04A0"/>
      </w:tblPr>
      <w:tblGrid>
        <w:gridCol w:w="4419"/>
        <w:gridCol w:w="4419"/>
      </w:tblGrid>
      <w:tr>
        <w:tc>
          <w:tcPr>
            <w:tcW w:type="dxa" w:w="4252"/>
            <w:shd w:val="clear" w:color="auto" w:fill="E2E5EE"/>
          </w:tcPr>
          <w:p>
            <w:pPr>
              <w:spacing w:after="40"/>
            </w:pPr>
            <w:r/>
            <w:r>
              <w:rPr>
                <w:b/>
                <w:sz w:val="19"/>
              </w:rPr>
              <w:t>Coût mensuel chargé</w:t>
            </w:r>
          </w:p>
        </w:tc>
        <w:tc>
          <w:tcPr>
            <w:tcW w:type="dxa" w:w="4252"/>
            <w:shd w:val="clear" w:color="auto" w:fill="E2E5EE"/>
          </w:tcPr>
          <w:p>
            <w:pPr>
              <w:spacing w:after="40"/>
            </w:pPr>
            <w:r/>
            <w:r>
              <w:rPr>
                <w:b/>
                <w:sz w:val="19"/>
              </w:rPr>
              <w:t>Budget total</w:t>
            </w:r>
          </w:p>
        </w:tc>
      </w:tr>
      <w:tr>
        <w:tc>
          <w:tcPr>
            <w:tcW w:type="dxa" w:w="4252"/>
          </w:tcPr>
          <w:p>
            <w:pPr>
              <w:spacing w:after="40"/>
            </w:pPr>
            <w:r>
              <w:rPr>
                <w:sz w:val="19"/>
              </w:rPr>
              <w:t>1,0 M Ar</w:t>
            </w:r>
          </w:p>
        </w:tc>
        <w:tc>
          <w:tcPr>
            <w:tcW w:type="dxa" w:w="4252"/>
          </w:tcPr>
          <w:p>
            <w:pPr>
              <w:spacing w:after="40"/>
              <w:jc w:val="right"/>
            </w:pPr>
            <w:r>
              <w:rPr>
                <w:sz w:val="19"/>
              </w:rPr>
              <w:t>71,0 M Ar</w:t>
            </w:r>
          </w:p>
        </w:tc>
      </w:tr>
      <w:tr>
        <w:tc>
          <w:tcPr>
            <w:tcW w:type="dxa" w:w="4252"/>
          </w:tcPr>
          <w:p>
            <w:pPr>
              <w:spacing w:after="40"/>
            </w:pPr>
            <w:r>
              <w:rPr>
                <w:sz w:val="19"/>
              </w:rPr>
              <w:t>1,5 M Ar</w:t>
            </w:r>
          </w:p>
        </w:tc>
        <w:tc>
          <w:tcPr>
            <w:tcW w:type="dxa" w:w="4252"/>
          </w:tcPr>
          <w:p>
            <w:pPr>
              <w:spacing w:after="40"/>
              <w:jc w:val="right"/>
            </w:pPr>
            <w:r>
              <w:rPr>
                <w:sz w:val="19"/>
              </w:rPr>
              <w:t>106,1 M Ar</w:t>
            </w:r>
          </w:p>
        </w:tc>
      </w:tr>
      <w:tr>
        <w:tc>
          <w:tcPr>
            <w:tcW w:type="dxa" w:w="4252"/>
          </w:tcPr>
          <w:p>
            <w:pPr>
              <w:spacing w:after="40"/>
            </w:pPr>
            <w:r>
              <w:rPr>
                <w:sz w:val="19"/>
              </w:rPr>
              <w:t>2,5 M Ar</w:t>
            </w:r>
          </w:p>
        </w:tc>
        <w:tc>
          <w:tcPr>
            <w:tcW w:type="dxa" w:w="4252"/>
          </w:tcPr>
          <w:p>
            <w:pPr>
              <w:spacing w:after="40"/>
              <w:jc w:val="right"/>
            </w:pPr>
            <w:r>
              <w:rPr>
                <w:sz w:val="19"/>
              </w:rPr>
              <w:t>176,3 M Ar</w:t>
            </w:r>
          </w:p>
        </w:tc>
      </w:tr>
    </w:tbl>
    <w:p>
      <w:pPr>
        <w:spacing w:after="40"/>
      </w:pPr>
    </w:p>
    <w:p>
      <w:pPr>
        <w:spacing w:before="240" w:after="40"/>
        <w:shd w:val="clear" w:color="auto" w:fill="F0E6CF"/>
        <w:pBdr>
          <w:left w:val="single" w:sz="24" w:space="8" w:color="8A6516"/>
        </w:pBdr>
      </w:pPr>
      <w:r>
        <w:rPr>
          <w:b/>
          <w:sz w:val="22"/>
        </w:rPr>
        <w:t>Ce que cette estimation vaut</w:t>
      </w:r>
    </w:p>
    <w:p>
      <w:pPr>
        <w:spacing w:after="80"/>
        <w:shd w:val="clear" w:color="auto" w:fill="F0E6CF"/>
        <w:pBdr>
          <w:left w:val="single" w:sz="24" w:space="8" w:color="8A6516"/>
        </w:pBdr>
      </w:pPr>
      <w:r>
        <w:rPr>
          <w:sz w:val="21"/>
        </w:rPr>
        <w:t xml:space="preserve">COCOMO a été calibré sur des projets industriels des années 1970, écrits dans des langages où une ligne de code représentait bien plus de travail qu'une ligne de JavaScript assemblée autour d'un cadriciel. Il donne l'effort d'une </w:t>
      </w:r>
      <w:r>
        <w:rPr>
          <w:b/>
          <w:sz w:val="21"/>
        </w:rPr>
        <w:t>équipe professionnelle</w:t>
      </w:r>
      <w:r>
        <w:rPr>
          <w:sz w:val="21"/>
        </w:rPr>
        <w:t xml:space="preserve"> suivant un cycle complet (spécification, conception, tests, documentation), pas celui d'un projet universitaire.</w:t>
      </w:r>
    </w:p>
    <w:p>
      <w:pPr>
        <w:spacing w:after="200"/>
        <w:shd w:val="clear" w:color="auto" w:fill="F0E6CF"/>
        <w:pBdr>
          <w:left w:val="single" w:sz="24" w:space="8" w:color="8A6516"/>
        </w:pBdr>
      </w:pPr>
      <w:r>
        <w:rPr>
          <w:sz w:val="21"/>
        </w:rPr>
        <w:t xml:space="preserve">Sa valeur est ailleurs : fixer un </w:t>
      </w:r>
      <w:r>
        <w:rPr>
          <w:b/>
          <w:sz w:val="21"/>
        </w:rPr>
        <w:t>ordre de grandeur défendable</w:t>
      </w:r>
      <w:r>
        <w:rPr>
          <w:sz w:val="21"/>
        </w:rPr>
        <w:t>, obtenu par une méthode explicite dont chaque hypothèse peut être discutée. Le chapitre 4 le confronte à la taille mesurée du logiciel livré.</w:t>
      </w:r>
    </w:p>
    <w:p>
      <w:pPr>
        <w:pStyle w:val="Heading2"/>
      </w:pPr>
      <w:r>
        <w:t>3.6  Conclusion</w:t>
      </w:r>
    </w:p>
    <w:p>
      <w:r>
        <w:rPr>
          <w:sz w:val="22"/>
        </w:rPr>
        <w:t>La plateforme a été éprouvée de bout en bout sur une installation neuve : trois publics s'y sont inscrits, se sont reconnus mutuellement, ont échangé des offres, des candidatures et des messages, jusqu'au recrutement d'une stagiaire. Chaque transition d'état a été observée à l'écran et contrôlée en base. Sur un corpus complet, les fonctions qui portent la contribution du travail (recommandation expliquée, similarité apprise entre compétences, conseiller, lecture des CV numérisés) produisent des résultats vérifiables par l'utilisateur lui-même.</w:t>
      </w:r>
    </w:p>
    <w:p>
      <w:r>
        <w:rPr>
          <w:sz w:val="22"/>
        </w:rPr>
        <w:t>L'estimation COCOMO fixe un ordre de grandeur de l'effort qu'aurait demandé ce logiciel dans un cadre professionnel. Le chapitre 4 la confronte à la taille réelle du logiciel livré.</w:t>
      </w:r>
    </w:p>
    <w:p>
      <w:r>
        <w:br w:type="page"/>
      </w:r>
    </w:p>
    <w:p>
      <w:pPr>
        <w:pStyle w:val="Heading2"/>
      </w:pPr>
      <w:r>
        <w:t>Table des figures</w:t>
      </w:r>
    </w:p>
    <w:p>
      <w:r>
        <w:rPr>
          <w:sz w:val="22"/>
        </w:rPr>
        <w:t>Figure 3.1 : La page d'accueil</w:t>
      </w:r>
    </w:p>
    <w:p>
      <w:r>
        <w:rPr>
          <w:sz w:val="22"/>
        </w:rPr>
        <w:t>Figure 3.2 : La présentation de la plateforme</w:t>
      </w:r>
    </w:p>
    <w:p>
      <w:r>
        <w:rPr>
          <w:sz w:val="22"/>
        </w:rPr>
        <w:t>Figure 3.3 : La connexion de l'administrateur</w:t>
      </w:r>
    </w:p>
    <w:p>
      <w:r>
        <w:rPr>
          <w:sz w:val="22"/>
        </w:rPr>
        <w:t>Figure 3.4 : Le tableau de bord d'administration, au premier jour</w:t>
      </w:r>
    </w:p>
    <w:p>
      <w:r>
        <w:rPr>
          <w:sz w:val="22"/>
        </w:rPr>
        <w:t>Figure 3.5 : Le formulaire d'inscription d'un établissement</w:t>
      </w:r>
    </w:p>
    <w:p>
      <w:r>
        <w:rPr>
          <w:sz w:val="22"/>
        </w:rPr>
        <w:t>Figure 3.6 : La confirmation de l'inscription</w:t>
      </w:r>
    </w:p>
    <w:p>
      <w:r>
        <w:rPr>
          <w:sz w:val="22"/>
        </w:rPr>
        <w:t>Figure 3.7 : La connexion d'un établissement</w:t>
      </w:r>
    </w:p>
    <w:p>
      <w:r>
        <w:rPr>
          <w:sz w:val="22"/>
        </w:rPr>
        <w:t>Figure 3.8 : Le tableau de bord de l'établissement, encore vide</w:t>
      </w:r>
    </w:p>
    <w:p>
      <w:r>
        <w:rPr>
          <w:sz w:val="22"/>
        </w:rPr>
        <w:t>Figure 3.9 : Premier écran de l'inscription : une université absente de la liste</w:t>
      </w:r>
    </w:p>
    <w:p>
      <w:r>
        <w:rPr>
          <w:sz w:val="22"/>
        </w:rPr>
        <w:t>Figure 3.10 : Deuxième écran : les préférences de stage</w:t>
      </w:r>
    </w:p>
    <w:p>
      <w:r>
        <w:rPr>
          <w:sz w:val="22"/>
        </w:rPr>
        <w:t>Figure 3.11 : Troisième écran : compétences, parcours et centres d'intérêt</w:t>
      </w:r>
    </w:p>
    <w:p>
      <w:r>
        <w:rPr>
          <w:sz w:val="22"/>
        </w:rPr>
        <w:t>Figure 3.12 : La confirmation de l'inscription</w:t>
      </w:r>
    </w:p>
    <w:p>
      <w:r>
        <w:rPr>
          <w:sz w:val="22"/>
        </w:rPr>
        <w:t>Figure 3.13 : Le rattachement automatique, vu par l'université</w:t>
      </w:r>
    </w:p>
    <w:p>
      <w:r>
        <w:rPr>
          <w:sz w:val="22"/>
        </w:rPr>
        <w:t>Figure 3.14 : Un mot de passe refusé par le serveur</w:t>
      </w:r>
    </w:p>
    <w:p>
      <w:r>
        <w:rPr>
          <w:sz w:val="22"/>
        </w:rPr>
        <w:t>Figure 3.15 : Le formulaire d'inscription d'une entreprise</w:t>
      </w:r>
    </w:p>
    <w:p>
      <w:r>
        <w:rPr>
          <w:sz w:val="22"/>
        </w:rPr>
        <w:t>Figure 3.16 : Les comptes en attente de vérification</w:t>
      </w:r>
    </w:p>
    <w:p>
      <w:r>
        <w:rPr>
          <w:sz w:val="22"/>
        </w:rPr>
        <w:t>Figure 3.17 : La liste des entreprises à vérifier</w:t>
      </w:r>
    </w:p>
    <w:p>
      <w:r>
        <w:rPr>
          <w:sz w:val="22"/>
        </w:rPr>
        <w:t>Figure 3.18 : La fiche détaillée d'une entreprise</w:t>
      </w:r>
    </w:p>
    <w:p>
      <w:r>
        <w:rPr>
          <w:sz w:val="22"/>
        </w:rPr>
        <w:t>Figure 3.19 : Deux entreprises vérifiées, une en attente</w:t>
      </w:r>
    </w:p>
    <w:p>
      <w:r>
        <w:rPr>
          <w:sz w:val="22"/>
        </w:rPr>
        <w:t>Figure 3.20 : Les deux établissements vérifiés</w:t>
      </w:r>
    </w:p>
    <w:p>
      <w:r>
        <w:rPr>
          <w:sz w:val="22"/>
        </w:rPr>
        <w:t>Figure 3.21 : La création d'un compte administrateur</w:t>
      </w:r>
    </w:p>
    <w:p>
      <w:r>
        <w:rPr>
          <w:sz w:val="22"/>
        </w:rPr>
        <w:t>Figure 3.22 : Le second compte administrateur créé</w:t>
      </w:r>
    </w:p>
    <w:p>
      <w:r>
        <w:rPr>
          <w:sz w:val="22"/>
        </w:rPr>
        <w:t>Figure 3.23 : La déclaration des filières enseignées</w:t>
      </w:r>
    </w:p>
    <w:p>
      <w:r>
        <w:rPr>
          <w:sz w:val="22"/>
        </w:rPr>
        <w:t>Figure 3.24 : L'import d'une promotion : le choix du fichier</w:t>
      </w:r>
    </w:p>
    <w:p>
      <w:r>
        <w:rPr>
          <w:sz w:val="22"/>
        </w:rPr>
        <w:t>Figure 3.25 : La prévisualisation de l'import</w:t>
      </w:r>
    </w:p>
    <w:p>
      <w:r>
        <w:rPr>
          <w:sz w:val="22"/>
        </w:rPr>
        <w:t>Figure 3.26 : Le résultat de l'import : les liens d'activation</w:t>
      </w:r>
    </w:p>
    <w:p>
      <w:r>
        <w:rPr>
          <w:sz w:val="22"/>
        </w:rPr>
        <w:t>Figure 3.27 : L'ajout individuel d'un étudiant</w:t>
      </w:r>
    </w:p>
    <w:p>
      <w:r>
        <w:rPr>
          <w:sz w:val="22"/>
        </w:rPr>
        <w:t>Figure 3.28 : Le lien d'activation remis à l'établissement</w:t>
      </w:r>
    </w:p>
    <w:p>
      <w:r>
        <w:rPr>
          <w:sz w:val="22"/>
        </w:rPr>
        <w:t>Figure 3.29 : La liste des filières restreinte par l'établissement</w:t>
      </w:r>
    </w:p>
    <w:p>
      <w:r>
        <w:rPr>
          <w:sz w:val="22"/>
        </w:rPr>
        <w:t>Figure 3.30 : La confirmation de l'inscription</w:t>
      </w:r>
    </w:p>
    <w:p>
      <w:r>
        <w:rPr>
          <w:sz w:val="22"/>
        </w:rPr>
        <w:t>Figure 3.31 : L'activation du compte par l'étudiante</w:t>
      </w:r>
    </w:p>
    <w:p>
      <w:r>
        <w:rPr>
          <w:sz w:val="22"/>
        </w:rPr>
        <w:t>Figure 3.32 : Le compte activé</w:t>
      </w:r>
    </w:p>
    <w:p>
      <w:r>
        <w:rPr>
          <w:sz w:val="22"/>
        </w:rPr>
        <w:t>Figure 3.33 : La connexion d'un étudiant</w:t>
      </w:r>
    </w:p>
    <w:p>
      <w:r>
        <w:rPr>
          <w:sz w:val="22"/>
        </w:rPr>
        <w:t>Figure 3.34 : Les demandes de rattachement en attente</w:t>
      </w:r>
    </w:p>
    <w:p>
      <w:r>
        <w:rPr>
          <w:sz w:val="22"/>
        </w:rPr>
        <w:t>Figure 3.35 : Hasina rattachée, Rivo refusé</w:t>
      </w:r>
    </w:p>
    <w:p>
      <w:r>
        <w:rPr>
          <w:sz w:val="22"/>
        </w:rPr>
        <w:t>Figure 3.36 : Le tableau de bord de l'entreprise, avant toute offre</w:t>
      </w:r>
    </w:p>
    <w:p>
      <w:r>
        <w:rPr>
          <w:sz w:val="22"/>
        </w:rPr>
        <w:t>Figure 3.37 : La modification de la fiche entreprise</w:t>
      </w:r>
    </w:p>
    <w:p>
      <w:r>
        <w:rPr>
          <w:sz w:val="22"/>
        </w:rPr>
        <w:t>Figure 3.38 : La publication d'une offre : les détails</w:t>
      </w:r>
    </w:p>
    <w:p>
      <w:r>
        <w:rPr>
          <w:sz w:val="22"/>
        </w:rPr>
        <w:t>Figure 3.39 : La publication d'une offre : les compétences exigées</w:t>
      </w:r>
    </w:p>
    <w:p>
      <w:r>
        <w:rPr>
          <w:sz w:val="22"/>
        </w:rPr>
        <w:t>Figure 3.40 : Le questionnaire de présélection</w:t>
      </w:r>
    </w:p>
    <w:p>
      <w:r>
        <w:rPr>
          <w:sz w:val="22"/>
        </w:rPr>
        <w:t>Figure 3.41 : Les offres publiées sur le tableau de bord</w:t>
      </w:r>
    </w:p>
    <w:p>
      <w:r>
        <w:rPr>
          <w:sz w:val="22"/>
        </w:rPr>
        <w:t>Figure 3.42 : La modification d'une offre publiée</w:t>
      </w:r>
    </w:p>
    <w:p>
      <w:r>
        <w:rPr>
          <w:sz w:val="22"/>
        </w:rPr>
        <w:t>Figure 3.43 : Le dépôt d'un CV</w:t>
      </w:r>
    </w:p>
    <w:p>
      <w:r>
        <w:rPr>
          <w:sz w:val="22"/>
        </w:rPr>
        <w:t>Figure 3.44 : Les compétences détectées dans le CV</w:t>
      </w:r>
    </w:p>
    <w:p>
      <w:r>
        <w:rPr>
          <w:sz w:val="22"/>
        </w:rPr>
        <w:t>Figure 3.45 : Le CV analysé et les compétences confirmées</w:t>
      </w:r>
    </w:p>
    <w:p>
      <w:r>
        <w:rPr>
          <w:sz w:val="22"/>
        </w:rPr>
        <w:t>Figure 3.46 : La lecture d'un CV numérisé</w:t>
      </w:r>
    </w:p>
    <w:p>
      <w:r>
        <w:rPr>
          <w:sz w:val="22"/>
        </w:rPr>
        <w:t>Figure 3.47 : Le profil de l'étudiante</w:t>
      </w:r>
    </w:p>
    <w:p>
      <w:r>
        <w:rPr>
          <w:sz w:val="22"/>
        </w:rPr>
        <w:t>Figure 3.48 : Les offres de stage, vues par l'étudiante</w:t>
      </w:r>
    </w:p>
    <w:p>
      <w:r>
        <w:rPr>
          <w:sz w:val="22"/>
        </w:rPr>
        <w:t>Figure 3.49 : Avant le questionnaire : une seule tentative</w:t>
      </w:r>
    </w:p>
    <w:p>
      <w:r>
        <w:rPr>
          <w:sz w:val="22"/>
        </w:rPr>
        <w:t>Figure 3.50 : Le questionnaire rempli et le dossier joint</w:t>
      </w:r>
    </w:p>
    <w:p>
      <w:r>
        <w:rPr>
          <w:sz w:val="22"/>
        </w:rPr>
        <w:t>Figure 3.51 : La candidature envoyée</w:t>
      </w:r>
    </w:p>
    <w:p>
      <w:r>
        <w:rPr>
          <w:sz w:val="22"/>
        </w:rPr>
        <w:t>Figure 3.52 : Le suivi des candidatures</w:t>
      </w:r>
    </w:p>
    <w:p>
      <w:r>
        <w:rPr>
          <w:sz w:val="22"/>
        </w:rPr>
        <w:t>Figure 3.53 : Les candidatures reçues</w:t>
      </w:r>
    </w:p>
    <w:p>
      <w:r>
        <w:rPr>
          <w:sz w:val="22"/>
        </w:rPr>
        <w:t>Figure 3.54 : Hasina recrutée, Toky refusé</w:t>
      </w:r>
    </w:p>
    <w:p>
      <w:r>
        <w:rPr>
          <w:sz w:val="22"/>
        </w:rPr>
        <w:t>Figure 3.55 : Un message de l'entreprise à l'étudiante</w:t>
      </w:r>
    </w:p>
    <w:p>
      <w:r>
        <w:rPr>
          <w:sz w:val="22"/>
        </w:rPr>
        <w:t>Figure 3.56 : La candidature acceptée</w:t>
      </w:r>
    </w:p>
    <w:p>
      <w:r>
        <w:rPr>
          <w:sz w:val="22"/>
        </w:rPr>
        <w:t>Figure 3.57 : La conversation avec le recruteur</w:t>
      </w:r>
    </w:p>
    <w:p>
      <w:r>
        <w:rPr>
          <w:sz w:val="22"/>
        </w:rPr>
        <w:t>Figure 3.58 : Un refus, et une candidature toujours en cours</w:t>
      </w:r>
    </w:p>
    <w:p>
      <w:r>
        <w:rPr>
          <w:sz w:val="22"/>
        </w:rPr>
        <w:t>Figure 3.59 : La rédaction d'une annonce de cohorte</w:t>
      </w:r>
    </w:p>
    <w:p>
      <w:r>
        <w:rPr>
          <w:sz w:val="22"/>
        </w:rPr>
        <w:t>Figure 3.60 : Les annonces de cohorte de l'établissement</w:t>
      </w:r>
    </w:p>
    <w:p>
      <w:r>
        <w:rPr>
          <w:sz w:val="22"/>
        </w:rPr>
        <w:t>Figure 3.61 : La recherche de candidats par une entreprise</w:t>
      </w:r>
    </w:p>
    <w:p>
      <w:r>
        <w:rPr>
          <w:sz w:val="22"/>
        </w:rPr>
        <w:t>Figure 3.62 : Les annonces de cohorte, vues par une entreprise</w:t>
      </w:r>
    </w:p>
    <w:p>
      <w:r>
        <w:rPr>
          <w:sz w:val="22"/>
        </w:rPr>
        <w:t>Figure 3.63 : Le détail d'une annonce et les profils de la promotion</w:t>
      </w:r>
    </w:p>
    <w:p>
      <w:r>
        <w:rPr>
          <w:sz w:val="22"/>
        </w:rPr>
        <w:t>Figure 3.64 : La fin d'un rattachement</w:t>
      </w:r>
    </w:p>
    <w:p>
      <w:r>
        <w:rPr>
          <w:sz w:val="22"/>
        </w:rPr>
        <w:t>Figure 3.65 : Les anciens étudiants</w:t>
      </w:r>
    </w:p>
    <w:p>
      <w:r>
        <w:rPr>
          <w:sz w:val="22"/>
        </w:rPr>
        <w:t>Figure 3.66 : La recherche d'entreprises par un étudiant</w:t>
      </w:r>
    </w:p>
    <w:p>
      <w:r>
        <w:rPr>
          <w:sz w:val="22"/>
        </w:rPr>
        <w:t>Figure 3.67 : La fiche publique d'une entreprise</w:t>
      </w:r>
    </w:p>
    <w:p>
      <w:r>
        <w:rPr>
          <w:sz w:val="22"/>
        </w:rPr>
        <w:t>Figure 3.68 : La fiche publique d'un établissement</w:t>
      </w:r>
    </w:p>
    <w:p>
      <w:r>
        <w:rPr>
          <w:sz w:val="22"/>
        </w:rPr>
        <w:t>Figure 3.69 : Le profil d'une étudiante, vu par un recruteur</w:t>
      </w:r>
    </w:p>
    <w:p>
      <w:r>
        <w:rPr>
          <w:sz w:val="22"/>
        </w:rPr>
        <w:t>Figure 3.70 : La demande de réinitialisation</w:t>
      </w:r>
    </w:p>
    <w:p>
      <w:r>
        <w:rPr>
          <w:sz w:val="22"/>
        </w:rPr>
        <w:t>Figure 3.71 : Une réponse volontairement identique</w:t>
      </w:r>
    </w:p>
    <w:p>
      <w:r>
        <w:rPr>
          <w:sz w:val="22"/>
        </w:rPr>
        <w:t>Figure 3.72 : Le choix du nouveau mot de passe</w:t>
      </w:r>
    </w:p>
    <w:p>
      <w:r>
        <w:rPr>
          <w:sz w:val="22"/>
        </w:rPr>
        <w:t>Figure 3.73 : Le mot de passe réinitialisé</w:t>
      </w:r>
    </w:p>
    <w:p>
      <w:r>
        <w:rPr>
          <w:sz w:val="22"/>
        </w:rPr>
        <w:t>Figure 3.74 : Le changement de mot de passe depuis son espace</w:t>
      </w:r>
    </w:p>
    <w:p>
      <w:r>
        <w:rPr>
          <w:sz w:val="22"/>
        </w:rPr>
        <w:t>Figure 3.75 : Le mot de passe modifié</w:t>
      </w:r>
    </w:p>
    <w:p>
      <w:r>
        <w:rPr>
          <w:sz w:val="22"/>
        </w:rPr>
        <w:t>Figure 3.76 : Les statistiques d'administration</w:t>
      </w:r>
    </w:p>
    <w:p>
      <w:r>
        <w:rPr>
          <w:sz w:val="22"/>
        </w:rPr>
        <w:t>Figure 3.77 : La liste des offres, côté administration</w:t>
      </w:r>
    </w:p>
    <w:p>
      <w:r>
        <w:rPr>
          <w:sz w:val="22"/>
        </w:rPr>
        <w:t>Figure 3.78 : Les recommandations sur un corpus complet</w:t>
      </w:r>
    </w:p>
    <w:p>
      <w:r>
        <w:rPr>
          <w:sz w:val="22"/>
        </w:rPr>
        <w:t>Figure 3.79 : Le détail d'une offre recommandée</w:t>
      </w:r>
    </w:p>
    <w:p>
      <w:r>
        <w:rPr>
          <w:sz w:val="22"/>
        </w:rPr>
        <w:t>Figure 3.80 : Une offre ouverte par la similarité</w:t>
      </w:r>
    </w:p>
    <w:p>
      <w:r>
        <w:rPr>
          <w:sz w:val="22"/>
        </w:rPr>
        <w:t>Figure 3.81 : Les compétences qui ouvriraient le plus de portes</w:t>
      </w:r>
    </w:p>
    <w:p>
      <w:r>
        <w:rPr>
          <w:sz w:val="22"/>
        </w:rPr>
        <w:t>Figure 3.82 : Un CV numérisé déjà analysé</w:t>
      </w:r>
    </w:p>
    <w:p>
      <w:r>
        <w:rPr>
          <w:sz w:val="22"/>
        </w:rPr>
        <w:t>Figure 3.83 : Les compétences lues dans le CV numérisé</w:t>
      </w:r>
    </w:p>
    <w:p>
      <w:r>
        <w:rPr>
          <w:sz w:val="22"/>
        </w:rPr>
        <w:t>Figure 3.84 : Le tableau de bord d'une entreprise active</w:t>
      </w:r>
    </w:p>
    <w:p>
      <w:r>
        <w:rPr>
          <w:sz w:val="22"/>
        </w:rPr>
        <w:t>Figure 3.85 : Les candidats suggérés pour l'offre Vue.js</w:t>
      </w:r>
    </w:p>
    <w:p>
      <w:r>
        <w:rPr>
          <w:sz w:val="22"/>
        </w:rPr>
        <w:t>Figure 3.86 : Les candidatures reçues par une entreprise</w:t>
      </w:r>
    </w:p>
    <w:p>
      <w:r>
        <w:rPr>
          <w:sz w:val="22"/>
        </w:rPr>
        <w:t>Figure 3.87 : La recherche de profils par filière</w:t>
      </w:r>
    </w:p>
    <w:p>
      <w:r>
        <w:rPr>
          <w:sz w:val="22"/>
        </w:rPr>
        <w:t>Figure 3.88 : Le tableau de bord d'un établissement actif</w:t>
      </w:r>
    </w:p>
    <w:p>
      <w:r>
        <w:rPr>
          <w:sz w:val="22"/>
        </w:rPr>
        <w:t>Figure 3.89 : Les étudiants organisés par promotion</w:t>
      </w:r>
    </w:p>
    <w:p>
      <w:pPr>
        <w:pStyle w:val="Heading2"/>
      </w:pPr>
      <w:r>
        <w:t>Liste des tableaux</w:t>
      </w:r>
    </w:p>
    <w:p>
      <w:r>
        <w:rPr>
          <w:sz w:val="22"/>
        </w:rPr>
        <w:t>Tableau 3.01 : Les deux temps de la présentation</w:t>
      </w:r>
    </w:p>
    <w:p>
      <w:r>
        <w:rPr>
          <w:sz w:val="22"/>
        </w:rPr>
        <w:t>Tableau 3.02 : Les acteurs de la première partie</w:t>
      </w:r>
    </w:p>
    <w:p>
      <w:r>
        <w:rPr>
          <w:sz w:val="22"/>
        </w:rPr>
        <w:t>Tableau 3.03 : Les gestes de chaque acteur</w:t>
      </w:r>
    </w:p>
    <w:p>
      <w:r>
        <w:rPr>
          <w:sz w:val="22"/>
        </w:rPr>
        <w:t>Tableau 3.04 : Estimation de la taille par module (en KLOC)</w:t>
      </w:r>
    </w:p>
    <w:p>
      <w:r>
        <w:rPr>
          <w:sz w:val="22"/>
        </w:rPr>
        <w:t>Tableau 3.05 : Cotation des quinze facteurs de coût</w:t>
      </w:r>
    </w:p>
    <w:p>
      <w:r>
        <w:rPr>
          <w:sz w:val="22"/>
        </w:rPr>
        <w:t>Tableau 3.06 : Budget prévisionnel</w:t>
      </w:r>
    </w:p>
    <w:p>
      <w:r>
        <w:rPr>
          <w:sz w:val="22"/>
        </w:rPr>
        <w:t>Tableau 3.07 : Sensibilité du budget au coût mensuel</w:t>
      </w:r>
    </w:p>
    <w:sectPr w:rsidR="00FC693F" w:rsidRPr="0006063C" w:rsidSect="00034616">
      <w:pgSz w:w="12240" w:h="15840"/>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517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51723"/>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31356E"/>
      <w:sz w:val="30"/>
      <w:szCs w:val="26"/>
    </w:rPr>
  </w:style>
  <w:style w:type="paragraph" w:styleId="Heading3">
    <w:name w:val="heading 3"/>
    <w:basedOn w:val="Normal"/>
    <w:next w:val="Normal"/>
    <w:link w:val="Heading3Char"/>
    <w:uiPriority w:val="9"/>
    <w:unhideWhenUsed/>
    <w:qFormat/>
    <w:rsid w:val="00FC693F"/>
    <w:pPr>
      <w:keepNext/>
      <w:keepLines/>
      <w:spacing w:before="252" w:after="120"/>
      <w:outlineLvl w:val="2"/>
    </w:pPr>
    <w:rPr>
      <w:rFonts w:asciiTheme="majorHAnsi" w:eastAsiaTheme="majorEastAsia" w:hAnsiTheme="majorHAnsi" w:cstheme="majorBidi" w:ascii="Calibri" w:hAnsi="Calibri"/>
      <w:b/>
      <w:bCs/>
      <w:color w:val="31356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