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4. Résultats, évaluation et perspectives</w:t>
      </w:r>
    </w:p>
    <w:p>
      <w:pPr>
        <w:pStyle w:val="Heading2"/>
      </w:pPr>
      <w:r>
        <w:t>4.1  Introduction</w:t>
      </w:r>
    </w:p>
    <w:p>
      <w:r>
        <w:rPr>
          <w:sz w:val="22"/>
        </w:rPr>
        <w:t xml:space="preserve">Le chapitre précédent a décrit la conception de la plateforme : les acteurs, les besoins, le modèle de données et le moteur d'appariement. Celui-ci rend compte de ce qui a été </w:t>
      </w:r>
      <w:r>
        <w:rPr>
          <w:b/>
          <w:sz w:val="22"/>
        </w:rPr>
        <w:t>obtenu</w:t>
      </w:r>
      <w:r>
        <w:rPr>
          <w:sz w:val="22"/>
        </w:rPr>
        <w:t>.</w:t>
      </w:r>
    </w:p>
    <w:p>
      <w:r>
        <w:rPr>
          <w:sz w:val="22"/>
        </w:rPr>
        <w:t>Il s'organise en quatre mouvements. Le premier dresse le bilan de l'application réalisée, confrontée aux besoins énoncés au chapitre 2. Le deuxième expose l'évaluation conduite : sa démarche, son protocole, ses résultats, y compris ceux qui contredisent l'hypothèse de départ. Le troisième apporte la réponse à l'évaluation budgétaire prévisionnelle du chapitre 3, en appliquant le modèle COCOMO à la taille mesurée du logiciel livré. Le quatrième recense les limites subsistantes et les évolutions qu'elles appellent.</w:t>
      </w:r>
    </w:p>
    <w:p>
      <w:r>
        <w:rPr>
          <w:b/>
          <w:sz w:val="22"/>
        </w:rPr>
        <w:t>Un parti pris de rédaction gouverne ce chapitre.</w:t>
      </w:r>
      <w:r>
        <w:rPr>
          <w:sz w:val="22"/>
        </w:rPr>
        <w:t xml:space="preserve"> Les mesures conduites n'ont pas toutes confirmé ce que le projet espérait établir, et elles sont rapportées telles qu'elles sont. Un chapitre de résultats qui n'annoncerait que des succès ne serait pas crédible : la valeur d'une évaluation tient précisément à sa capacité à invalider. Les écarts entre l'attendu et l'obtenu sont donc exposés, expliqués, et convertis en questions de recherche.</w:t>
      </w:r>
    </w:p>
    <w:p>
      <w:r>
        <w:br w:type="page"/>
      </w:r>
    </w:p>
    <w:p>
      <w:pPr>
        <w:pStyle w:val="Heading2"/>
      </w:pPr>
      <w:r>
        <w:t>4.2  Résultats obtenus</w:t>
      </w:r>
    </w:p>
    <w:p>
      <w:pPr>
        <w:pStyle w:val="Heading3"/>
      </w:pPr>
      <w:r>
        <w:t>4.2.1  Vue d'ensemble de l'application réalisée</w:t>
      </w:r>
    </w:p>
    <w:p>
      <w:r>
        <w:rPr>
          <w:sz w:val="22"/>
        </w:rPr>
        <w:t>La plateforme est une application web unique, construite sur Next.js selon l'architecture décrite au chapitre 2, et adossée à une base PostgreSQL. Elle est fonctionnelle de bout en bout pour les quatre rôles prévus : un étudiant peut s'inscrire, déposer un CV, le faire analyser, postuler à une offre et suivre sa candidature ; une entreprise peut publier une offre assortie d'un questionnaire de filtrage et décider du sort des candidatures reçues ; une université peut constituer ses promotions, valider les rattachements et présenter une cohorte aux recruteurs ; un administrateur supervise l'ensemble.</w:t>
      </w:r>
    </w:p>
    <w:p>
      <w:pPr>
        <w:spacing w:before="160" w:after="80"/>
      </w:pPr>
      <w:r>
        <w:rPr>
          <w:color w:val="565B6E"/>
          <w:sz w:val="18"/>
        </w:rPr>
        <w:t>Tableau 4.01 : Volumétrie du logiciel réalisé</w:t>
      </w:r>
    </w:p>
    <w:tbl>
      <w:tblPr>
        <w:tblStyle w:val="TableGrid"/>
        <w:tblW w:type="auto" w:w="0"/>
        <w:jc w:val="left"/>
        <w:tblLook w:firstColumn="1" w:firstRow="1" w:lastColumn="0" w:lastRow="0" w:noHBand="0" w:noVBand="1" w:val="04A0"/>
      </w:tblPr>
      <w:tblGrid>
        <w:gridCol w:w="2946"/>
        <w:gridCol w:w="2946"/>
        <w:gridCol w:w="2946"/>
      </w:tblGrid>
      <w:tr>
        <w:tc>
          <w:tcPr>
            <w:tcW w:type="dxa" w:w="2835"/>
            <w:shd w:val="clear" w:color="auto" w:fill="E2E5EE"/>
          </w:tcPr>
          <w:p>
            <w:pPr>
              <w:spacing w:after="40"/>
            </w:pPr>
            <w:r/>
            <w:r>
              <w:rPr>
                <w:b/>
                <w:sz w:val="19"/>
              </w:rPr>
              <w:t>Élément</w:t>
            </w:r>
          </w:p>
        </w:tc>
        <w:tc>
          <w:tcPr>
            <w:tcW w:type="dxa" w:w="1417"/>
            <w:shd w:val="clear" w:color="auto" w:fill="E2E5EE"/>
          </w:tcPr>
          <w:p>
            <w:pPr>
              <w:spacing w:after="40"/>
            </w:pPr>
            <w:r/>
            <w:r>
              <w:rPr>
                <w:b/>
                <w:sz w:val="19"/>
              </w:rPr>
              <w:t>Nombre</w:t>
            </w:r>
          </w:p>
        </w:tc>
        <w:tc>
          <w:tcPr>
            <w:tcW w:type="dxa" w:w="4252"/>
            <w:shd w:val="clear" w:color="auto" w:fill="E2E5EE"/>
          </w:tcPr>
          <w:p>
            <w:pPr>
              <w:spacing w:after="40"/>
            </w:pPr>
            <w:r/>
            <w:r>
              <w:rPr>
                <w:b/>
                <w:sz w:val="19"/>
              </w:rPr>
              <w:t>Remarque</w:t>
            </w:r>
          </w:p>
        </w:tc>
      </w:tr>
      <w:tr>
        <w:tc>
          <w:tcPr>
            <w:tcW w:type="dxa" w:w="2835"/>
          </w:tcPr>
          <w:p>
            <w:pPr>
              <w:spacing w:after="40"/>
            </w:pPr>
            <w:r>
              <w:rPr>
                <w:sz w:val="19"/>
              </w:rPr>
              <w:t>Pages</w:t>
            </w:r>
          </w:p>
        </w:tc>
        <w:tc>
          <w:tcPr>
            <w:tcW w:type="dxa" w:w="1417"/>
          </w:tcPr>
          <w:p>
            <w:pPr>
              <w:spacing w:after="40"/>
              <w:jc w:val="right"/>
            </w:pPr>
            <w:r>
              <w:rPr>
                <w:sz w:val="19"/>
              </w:rPr>
              <w:t>43</w:t>
            </w:r>
          </w:p>
        </w:tc>
        <w:tc>
          <w:tcPr>
            <w:tcW w:type="dxa" w:w="4252"/>
          </w:tcPr>
          <w:p>
            <w:pPr>
              <w:spacing w:after="40"/>
            </w:pPr>
            <w:r>
              <w:rPr>
                <w:sz w:val="19"/>
              </w:rPr>
              <w:t>interfaces des quatre rôles</w:t>
            </w:r>
          </w:p>
        </w:tc>
      </w:tr>
      <w:tr>
        <w:tc>
          <w:tcPr>
            <w:tcW w:type="dxa" w:w="2835"/>
          </w:tcPr>
          <w:p>
            <w:pPr>
              <w:spacing w:after="40"/>
            </w:pPr>
            <w:r>
              <w:rPr>
                <w:sz w:val="19"/>
              </w:rPr>
              <w:t>Routes applicatives</w:t>
            </w:r>
          </w:p>
        </w:tc>
        <w:tc>
          <w:tcPr>
            <w:tcW w:type="dxa" w:w="1417"/>
          </w:tcPr>
          <w:p>
            <w:pPr>
              <w:spacing w:after="40"/>
              <w:jc w:val="right"/>
            </w:pPr>
            <w:r>
              <w:rPr>
                <w:sz w:val="19"/>
              </w:rPr>
              <w:t>60</w:t>
            </w:r>
          </w:p>
        </w:tc>
        <w:tc>
          <w:tcPr>
            <w:tcW w:type="dxa" w:w="4252"/>
          </w:tcPr>
          <w:p>
            <w:pPr>
              <w:spacing w:after="40"/>
            </w:pPr>
            <w:r>
              <w:rPr>
                <w:sz w:val="19"/>
              </w:rPr>
              <w:t>points d'entrée du serveur</w:t>
            </w:r>
          </w:p>
        </w:tc>
      </w:tr>
      <w:tr>
        <w:tc>
          <w:tcPr>
            <w:tcW w:type="dxa" w:w="2835"/>
          </w:tcPr>
          <w:p>
            <w:pPr>
              <w:spacing w:after="40"/>
            </w:pPr>
            <w:r>
              <w:rPr>
                <w:sz w:val="19"/>
              </w:rPr>
              <w:t>Modules métier</w:t>
            </w:r>
          </w:p>
        </w:tc>
        <w:tc>
          <w:tcPr>
            <w:tcW w:type="dxa" w:w="1417"/>
          </w:tcPr>
          <w:p>
            <w:pPr>
              <w:spacing w:after="40"/>
              <w:jc w:val="right"/>
            </w:pPr>
            <w:r>
              <w:rPr>
                <w:sz w:val="19"/>
              </w:rPr>
              <w:t>24</w:t>
            </w:r>
          </w:p>
        </w:tc>
        <w:tc>
          <w:tcPr>
            <w:tcW w:type="dxa" w:w="4252"/>
          </w:tcPr>
          <w:p>
            <w:pPr>
              <w:spacing w:after="40"/>
            </w:pPr>
            <w:r>
              <w:rPr>
                <w:sz w:val="19"/>
              </w:rPr>
              <w:t>logique partagée, hors interface</w:t>
            </w:r>
          </w:p>
        </w:tc>
      </w:tr>
      <w:tr>
        <w:tc>
          <w:tcPr>
            <w:tcW w:type="dxa" w:w="2835"/>
          </w:tcPr>
          <w:p>
            <w:pPr>
              <w:spacing w:after="40"/>
            </w:pPr>
            <w:r>
              <w:rPr>
                <w:sz w:val="19"/>
              </w:rPr>
              <w:t>Composants réutilisables</w:t>
            </w:r>
          </w:p>
        </w:tc>
        <w:tc>
          <w:tcPr>
            <w:tcW w:type="dxa" w:w="1417"/>
          </w:tcPr>
          <w:p>
            <w:pPr>
              <w:spacing w:after="40"/>
              <w:jc w:val="right"/>
            </w:pPr>
            <w:r>
              <w:rPr>
                <w:sz w:val="19"/>
              </w:rPr>
              <w:t>50</w:t>
            </w:r>
          </w:p>
        </w:tc>
        <w:tc>
          <w:tcPr>
            <w:tcW w:type="dxa" w:w="4252"/>
          </w:tcPr>
          <w:p>
            <w:pPr>
              <w:spacing w:after="40"/>
            </w:pPr>
            <w:r>
              <w:rPr>
                <w:sz w:val="19"/>
              </w:rPr>
              <w:t>éléments d'interface</w:t>
            </w:r>
          </w:p>
        </w:tc>
      </w:tr>
      <w:tr>
        <w:tc>
          <w:tcPr>
            <w:tcW w:type="dxa" w:w="2835"/>
          </w:tcPr>
          <w:p>
            <w:pPr>
              <w:spacing w:after="40"/>
            </w:pPr>
            <w:r>
              <w:rPr>
                <w:sz w:val="19"/>
              </w:rPr>
              <w:t>Tables en base</w:t>
            </w:r>
          </w:p>
        </w:tc>
        <w:tc>
          <w:tcPr>
            <w:tcW w:type="dxa" w:w="1417"/>
          </w:tcPr>
          <w:p>
            <w:pPr>
              <w:spacing w:after="40"/>
              <w:jc w:val="right"/>
            </w:pPr>
            <w:r>
              <w:rPr>
                <w:sz w:val="19"/>
              </w:rPr>
              <w:t>29</w:t>
            </w:r>
          </w:p>
        </w:tc>
        <w:tc>
          <w:tcPr>
            <w:tcW w:type="dxa" w:w="4252"/>
          </w:tcPr>
          <w:p>
            <w:pPr>
              <w:spacing w:after="40"/>
            </w:pPr>
            <w:r>
              <w:rPr>
                <w:sz w:val="19"/>
              </w:rPr>
              <w:t>voir le modèle de données, chapitre 2</w:t>
            </w:r>
          </w:p>
        </w:tc>
      </w:tr>
      <w:tr>
        <w:tc>
          <w:tcPr>
            <w:tcW w:type="dxa" w:w="2835"/>
          </w:tcPr>
          <w:p>
            <w:pPr>
              <w:spacing w:after="40"/>
            </w:pPr>
            <w:r>
              <w:rPr>
                <w:sz w:val="19"/>
              </w:rPr>
              <w:t>Révisions versionnées</w:t>
            </w:r>
          </w:p>
        </w:tc>
        <w:tc>
          <w:tcPr>
            <w:tcW w:type="dxa" w:w="1417"/>
          </w:tcPr>
          <w:p>
            <w:pPr>
              <w:spacing w:after="40"/>
              <w:jc w:val="right"/>
            </w:pPr>
            <w:r>
              <w:rPr>
                <w:sz w:val="19"/>
              </w:rPr>
              <w:t>48</w:t>
            </w:r>
          </w:p>
        </w:tc>
        <w:tc>
          <w:tcPr>
            <w:tcW w:type="dxa" w:w="4252"/>
          </w:tcPr>
          <w:p>
            <w:pPr>
              <w:spacing w:after="40"/>
            </w:pPr>
            <w:r>
              <w:rPr>
                <w:sz w:val="19"/>
              </w:rPr>
              <w:t>sur la branche de développement</w:t>
            </w:r>
          </w:p>
        </w:tc>
      </w:tr>
    </w:tbl>
    <w:p>
      <w:pPr>
        <w:spacing w:after="40"/>
      </w:pPr>
    </w:p>
    <w:p>
      <w:r>
        <w:rPr>
          <w:sz w:val="22"/>
        </w:rPr>
        <w:t xml:space="preserve">Un </w:t>
      </w:r>
      <w:r>
        <w:rPr>
          <w:b/>
          <w:sz w:val="22"/>
        </w:rPr>
        <w:t>jeu de démonstration</w:t>
      </w:r>
      <w:r>
        <w:rPr>
          <w:sz w:val="22"/>
        </w:rPr>
        <w:t xml:space="preserve"> accompagne l'application et rend la présentation reproductible : 79 comptes répartis sur les quatre rôles, 67 offres de stage, 72 candidatures, un référentiel de 56 compétences et 38 curriculum vitae, dont une part numérisée pour éprouver la reconnaissance optique.</w:t>
      </w:r>
    </w:p>
    <w:p>
      <w:r>
        <w:rPr>
          <w:b/>
          <w:sz w:val="22"/>
        </w:rPr>
        <w:t>Trois fonctionnalités portent la contribution du travail</w:t>
      </w:r>
      <w:r>
        <w:rPr>
          <w:sz w:val="22"/>
        </w:rPr>
        <w:t xml:space="preserve"> et n'existaient dans aucune version antérieure : l'ingestion d'un curriculum vitae et l'extraction assistée des compétences qu'il contient ; la mesure de similarité entre compétences, qui permet de créditer un profil pour une compétence proche de celle exigée ; et le conseiller, qui indique à l'étudiant quelles compétences acquérir en priorité.</w:t>
      </w:r>
    </w:p>
    <w:p>
      <w:pPr>
        <w:pStyle w:val="Heading3"/>
      </w:pPr>
      <w:r>
        <w:t>4.2.2  Bilan au regard des besoins fonctionnels</w:t>
      </w:r>
    </w:p>
    <w:p>
      <w:r>
        <w:rPr>
          <w:sz w:val="22"/>
        </w:rPr>
        <w:t>Les besoins fonctionnels du chapitre 2 sont organisés en quatre modules. Le tableau suivant en dresse le bilan module par module.</w:t>
      </w:r>
    </w:p>
    <w:p>
      <w:pPr>
        <w:spacing w:before="160" w:after="80"/>
      </w:pPr>
      <w:r>
        <w:rPr>
          <w:color w:val="565B6E"/>
          <w:sz w:val="18"/>
        </w:rPr>
        <w:t>Tableau 4.02 : Couverture des besoins fonctionnels</w:t>
      </w:r>
    </w:p>
    <w:tbl>
      <w:tblPr>
        <w:tblStyle w:val="TableGrid"/>
        <w:tblW w:type="auto" w:w="0"/>
        <w:jc w:val="left"/>
        <w:tblLook w:firstColumn="1" w:firstRow="1" w:lastColumn="0" w:lastRow="0" w:noHBand="0" w:noVBand="1" w:val="04A0"/>
      </w:tblPr>
      <w:tblGrid>
        <w:gridCol w:w="2946"/>
        <w:gridCol w:w="2946"/>
        <w:gridCol w:w="2946"/>
      </w:tblGrid>
      <w:tr>
        <w:tc>
          <w:tcPr>
            <w:tcW w:type="dxa" w:w="1701"/>
            <w:shd w:val="clear" w:color="auto" w:fill="E2E5EE"/>
          </w:tcPr>
          <w:p>
            <w:pPr>
              <w:spacing w:after="40"/>
            </w:pPr>
            <w:r/>
            <w:r>
              <w:rPr>
                <w:b/>
                <w:sz w:val="19"/>
              </w:rPr>
              <w:t>Module</w:t>
            </w:r>
          </w:p>
        </w:tc>
        <w:tc>
          <w:tcPr>
            <w:tcW w:type="dxa" w:w="1701"/>
            <w:shd w:val="clear" w:color="auto" w:fill="E2E5EE"/>
          </w:tcPr>
          <w:p>
            <w:pPr>
              <w:spacing w:after="40"/>
            </w:pPr>
            <w:r/>
            <w:r>
              <w:rPr>
                <w:b/>
                <w:sz w:val="19"/>
              </w:rPr>
              <w:t>Couverture</w:t>
            </w:r>
          </w:p>
        </w:tc>
        <w:tc>
          <w:tcPr>
            <w:tcW w:type="dxa" w:w="5102"/>
            <w:shd w:val="clear" w:color="auto" w:fill="E2E5EE"/>
          </w:tcPr>
          <w:p>
            <w:pPr>
              <w:spacing w:after="40"/>
            </w:pPr>
            <w:r/>
            <w:r>
              <w:rPr>
                <w:b/>
                <w:sz w:val="19"/>
              </w:rPr>
              <w:t>Réserves</w:t>
            </w:r>
          </w:p>
        </w:tc>
      </w:tr>
      <w:tr>
        <w:tc>
          <w:tcPr>
            <w:tcW w:type="dxa" w:w="1701"/>
          </w:tcPr>
          <w:p>
            <w:pPr>
              <w:spacing w:after="40"/>
            </w:pPr>
            <w:r>
              <w:rPr>
                <w:sz w:val="19"/>
              </w:rPr>
              <w:t>Étudiant</w:t>
            </w:r>
          </w:p>
        </w:tc>
        <w:tc>
          <w:tcPr>
            <w:tcW w:type="dxa" w:w="1701"/>
          </w:tcPr>
          <w:p>
            <w:pPr>
              <w:spacing w:after="40"/>
            </w:pPr>
            <w:r>
              <w:rPr>
                <w:sz w:val="19"/>
              </w:rPr>
              <w:t>complète</w:t>
            </w:r>
          </w:p>
        </w:tc>
        <w:tc>
          <w:tcPr>
            <w:tcW w:type="dxa" w:w="5102"/>
          </w:tcPr>
          <w:p>
            <w:pPr>
              <w:spacing w:after="40"/>
            </w:pPr>
            <w:r>
              <w:rPr>
                <w:sz w:val="19"/>
              </w:rPr>
              <w:t>Le retrait d'une candidature déposée n'est pas offert : la décision appartient à l'entreprise une fois le dossier transmis.</w:t>
            </w:r>
          </w:p>
        </w:tc>
      </w:tr>
      <w:tr>
        <w:tc>
          <w:tcPr>
            <w:tcW w:type="dxa" w:w="1701"/>
          </w:tcPr>
          <w:p>
            <w:pPr>
              <w:spacing w:after="40"/>
            </w:pPr>
            <w:r>
              <w:rPr>
                <w:sz w:val="19"/>
              </w:rPr>
              <w:t>Entreprise</w:t>
            </w:r>
          </w:p>
        </w:tc>
        <w:tc>
          <w:tcPr>
            <w:tcW w:type="dxa" w:w="1701"/>
          </w:tcPr>
          <w:p>
            <w:pPr>
              <w:spacing w:after="40"/>
            </w:pPr>
            <w:r>
              <w:rPr>
                <w:sz w:val="19"/>
              </w:rPr>
              <w:t>complète</w:t>
            </w:r>
          </w:p>
        </w:tc>
        <w:tc>
          <w:tcPr>
            <w:tcW w:type="dxa" w:w="5102"/>
          </w:tcPr>
          <w:p>
            <w:pPr>
              <w:spacing w:after="40"/>
            </w:pPr>
            <w:r>
              <w:rPr>
                <w:sz w:val="19"/>
              </w:rPr>
              <w:t>La suppression d'une offre publiée n'est pas exposée ; seule la modification l'est, afin de ne pas rompre les candidatures déjà rattachées.</w:t>
            </w:r>
          </w:p>
        </w:tc>
      </w:tr>
      <w:tr>
        <w:tc>
          <w:tcPr>
            <w:tcW w:type="dxa" w:w="1701"/>
          </w:tcPr>
          <w:p>
            <w:pPr>
              <w:spacing w:after="40"/>
            </w:pPr>
            <w:r>
              <w:rPr>
                <w:sz w:val="19"/>
              </w:rPr>
              <w:t>Université</w:t>
            </w:r>
          </w:p>
        </w:tc>
        <w:tc>
          <w:tcPr>
            <w:tcW w:type="dxa" w:w="1701"/>
          </w:tcPr>
          <w:p>
            <w:pPr>
              <w:spacing w:after="40"/>
            </w:pPr>
            <w:r>
              <w:rPr>
                <w:sz w:val="19"/>
              </w:rPr>
              <w:t>complète</w:t>
            </w:r>
          </w:p>
        </w:tc>
        <w:tc>
          <w:tcPr>
            <w:tcW w:type="dxa" w:w="5102"/>
          </w:tcPr>
          <w:p>
            <w:pPr>
              <w:spacing w:after="40"/>
            </w:pPr>
          </w:p>
        </w:tc>
      </w:tr>
      <w:tr>
        <w:tc>
          <w:tcPr>
            <w:tcW w:type="dxa" w:w="1701"/>
          </w:tcPr>
          <w:p>
            <w:pPr>
              <w:spacing w:after="40"/>
            </w:pPr>
            <w:r>
              <w:rPr>
                <w:sz w:val="19"/>
              </w:rPr>
              <w:t>Administrateur</w:t>
            </w:r>
          </w:p>
        </w:tc>
        <w:tc>
          <w:tcPr>
            <w:tcW w:type="dxa" w:w="1701"/>
          </w:tcPr>
          <w:p>
            <w:pPr>
              <w:spacing w:after="40"/>
            </w:pPr>
            <w:r>
              <w:rPr>
                <w:sz w:val="19"/>
              </w:rPr>
              <w:t>complète</w:t>
            </w:r>
          </w:p>
        </w:tc>
        <w:tc>
          <w:tcPr>
            <w:tcW w:type="dxa" w:w="5102"/>
          </w:tcPr>
          <w:p>
            <w:pPr>
              <w:spacing w:after="40"/>
            </w:pPr>
            <w:r>
              <w:rPr>
                <w:sz w:val="19"/>
              </w:rPr>
              <w:t>Le référentiel de compétences est consultable mais ne s'administre pas depuis l'interface : il s'alimente par migration.</w:t>
            </w:r>
          </w:p>
        </w:tc>
      </w:tr>
    </w:tbl>
    <w:p>
      <w:pPr>
        <w:spacing w:after="40"/>
      </w:pPr>
    </w:p>
    <w:p>
      <w:r>
        <w:rPr>
          <w:b/>
          <w:sz w:val="22"/>
        </w:rPr>
        <w:t>Deux besoins initialement énoncés ont été retirés plutôt que réalisés</w:t>
      </w:r>
      <w:r>
        <w:rPr>
          <w:sz w:val="22"/>
        </w:rPr>
        <w:t>, et il importe de le dire ici plutôt que de le laisser découvrir.</w:t>
      </w:r>
    </w:p>
    <w:p>
      <w:pPr>
        <w:pStyle w:val="ListBullet"/>
        <w:spacing w:after="60"/>
      </w:pPr>
      <w:r>
        <w:rPr>
          <w:b/>
          <w:sz w:val="22"/>
        </w:rPr>
        <w:t>La génération d'attestations de stage.</w:t>
      </w:r>
      <w:r>
        <w:rPr>
          <w:sz w:val="22"/>
        </w:rPr>
        <w:t xml:space="preserve"> Elle supposait un suivi de la convention et de la période effective de stage, donc un modèle de données et un circuit de validation qui dépassaient le périmètre. Le besoin est reporté aux perspectives.</w:t>
      </w:r>
    </w:p>
    <w:p>
      <w:pPr>
        <w:pStyle w:val="ListBullet"/>
        <w:spacing w:after="60"/>
      </w:pPr>
      <w:r>
        <w:rPr>
          <w:b/>
          <w:sz w:val="22"/>
        </w:rPr>
        <w:t>La publication d'annonces par l'étudiant.</w:t>
      </w:r>
      <w:r>
        <w:rPr>
          <w:sz w:val="22"/>
        </w:rPr>
        <w:t xml:space="preserve"> La fonction faisait double emploi avec le profil, que les entreprises consultent déjà par la recherche de candidats, et avec les annonces de cohorte publiées par les universités.</w:t>
      </w:r>
    </w:p>
    <w:p>
      <w:r>
        <w:rPr>
          <w:sz w:val="22"/>
        </w:rPr>
        <w:t xml:space="preserve">À l'inverse, </w:t>
      </w:r>
      <w:r>
        <w:rPr>
          <w:b/>
          <w:sz w:val="22"/>
        </w:rPr>
        <w:t>le périmètre s'est élargi</w:t>
      </w:r>
      <w:r>
        <w:rPr>
          <w:sz w:val="22"/>
        </w:rPr>
        <w:t xml:space="preserve"> sur le module université, le plus incomplet à la spécification initiale : gestion des promotions, restriction des rattachements aux domaines de messagerie institutionnels, vérification d'identité, import d'une promotion entière et clôture d'un cycle en une seule action. Le questionnaire de filtrage, absent de la spécification des deux côtés, traverse aujourd'hui l'application : l'entreprise le compose, l'étudiant y répond dans le temps imparti, et la note obtenue entre au dossier de candidature.</w:t>
      </w:r>
    </w:p>
    <w:p>
      <w:pPr>
        <w:pStyle w:val="Heading3"/>
      </w:pPr>
      <w:r>
        <w:t>4.2.3  Bilan au regard des besoins non fonctionnels</w:t>
      </w:r>
    </w:p>
    <w:p>
      <w:pPr>
        <w:spacing w:before="160" w:after="80"/>
      </w:pPr>
      <w:r>
        <w:rPr>
          <w:color w:val="565B6E"/>
          <w:sz w:val="18"/>
        </w:rPr>
        <w:t>Tableau 4.03 : Bilan des besoins non fonctionnels</w:t>
      </w:r>
    </w:p>
    <w:tbl>
      <w:tblPr>
        <w:tblStyle w:val="TableGrid"/>
        <w:tblW w:type="auto" w:w="0"/>
        <w:jc w:val="left"/>
        <w:tblLook w:firstColumn="1" w:firstRow="1" w:lastColumn="0" w:lastRow="0" w:noHBand="0" w:noVBand="1" w:val="04A0"/>
      </w:tblPr>
      <w:tblGrid>
        <w:gridCol w:w="2946"/>
        <w:gridCol w:w="2946"/>
        <w:gridCol w:w="2946"/>
      </w:tblGrid>
      <w:tr>
        <w:tc>
          <w:tcPr>
            <w:tcW w:type="dxa" w:w="1814"/>
            <w:shd w:val="clear" w:color="auto" w:fill="E2E5EE"/>
          </w:tcPr>
          <w:p>
            <w:pPr>
              <w:spacing w:after="40"/>
            </w:pPr>
            <w:r/>
            <w:r>
              <w:rPr>
                <w:b/>
                <w:sz w:val="19"/>
              </w:rPr>
              <w:t>Critère</w:t>
            </w:r>
          </w:p>
        </w:tc>
        <w:tc>
          <w:tcPr>
            <w:tcW w:type="dxa" w:w="5272"/>
            <w:shd w:val="clear" w:color="auto" w:fill="E2E5EE"/>
          </w:tcPr>
          <w:p>
            <w:pPr>
              <w:spacing w:after="40"/>
            </w:pPr>
            <w:r/>
            <w:r>
              <w:rPr>
                <w:b/>
                <w:sz w:val="19"/>
              </w:rPr>
              <w:t>Ce qui a été réalisé</w:t>
            </w:r>
          </w:p>
        </w:tc>
        <w:tc>
          <w:tcPr>
            <w:tcW w:type="dxa" w:w="1417"/>
            <w:shd w:val="clear" w:color="auto" w:fill="E2E5EE"/>
          </w:tcPr>
          <w:p>
            <w:pPr>
              <w:spacing w:after="40"/>
            </w:pPr>
            <w:r/>
            <w:r>
              <w:rPr>
                <w:b/>
                <w:sz w:val="19"/>
              </w:rPr>
              <w:t>État</w:t>
            </w:r>
          </w:p>
        </w:tc>
      </w:tr>
      <w:tr>
        <w:tc>
          <w:tcPr>
            <w:tcW w:type="dxa" w:w="1814"/>
          </w:tcPr>
          <w:p>
            <w:pPr>
              <w:spacing w:after="40"/>
            </w:pPr>
            <w:r>
              <w:rPr>
                <w:sz w:val="19"/>
              </w:rPr>
              <w:t>Performance</w:t>
            </w:r>
          </w:p>
        </w:tc>
        <w:tc>
          <w:tcPr>
            <w:tcW w:type="dxa" w:w="5272"/>
          </w:tcPr>
          <w:p>
            <w:pPr>
              <w:spacing w:after="40"/>
            </w:pPr>
            <w:r>
              <w:rPr>
                <w:sz w:val="19"/>
              </w:rPr>
              <w:t>La matrice de similarité, calcul le plus coûteux du système, est mise en cache cinq minutes. L'import d'une promotion de 300 comptes s'exécute en 1,25 s.</w:t>
            </w:r>
          </w:p>
        </w:tc>
        <w:tc>
          <w:tcPr>
            <w:tcW w:type="dxa" w:w="1417"/>
          </w:tcPr>
          <w:p>
            <w:pPr>
              <w:spacing w:after="40"/>
            </w:pPr>
            <w:r>
              <w:rPr>
                <w:sz w:val="19"/>
              </w:rPr>
              <w:t>atteint</w:t>
            </w:r>
          </w:p>
        </w:tc>
      </w:tr>
      <w:tr>
        <w:tc>
          <w:tcPr>
            <w:tcW w:type="dxa" w:w="1814"/>
          </w:tcPr>
          <w:p>
            <w:pPr>
              <w:spacing w:after="40"/>
            </w:pPr>
            <w:r>
              <w:rPr>
                <w:sz w:val="19"/>
              </w:rPr>
              <w:t>Robustesse</w:t>
            </w:r>
          </w:p>
        </w:tc>
        <w:tc>
          <w:tcPr>
            <w:tcW w:type="dxa" w:w="5272"/>
          </w:tcPr>
          <w:p>
            <w:pPr>
              <w:spacing w:after="40"/>
            </w:pPr>
            <w:r>
              <w:rPr>
                <w:sz w:val="19"/>
              </w:rPr>
              <w:t>Un échec de construction de la matrice fait retomber le calcul sur la correspondance exacte ; un échec d'envoi de courriel n'empêche jamais l'enregistrement de la décision qui l'a déclenché.</w:t>
            </w:r>
          </w:p>
        </w:tc>
        <w:tc>
          <w:tcPr>
            <w:tcW w:type="dxa" w:w="1417"/>
          </w:tcPr>
          <w:p>
            <w:pPr>
              <w:spacing w:after="40"/>
            </w:pPr>
            <w:r>
              <w:rPr>
                <w:sz w:val="19"/>
              </w:rPr>
              <w:t>atteint</w:t>
            </w:r>
          </w:p>
        </w:tc>
      </w:tr>
      <w:tr>
        <w:tc>
          <w:tcPr>
            <w:tcW w:type="dxa" w:w="1814"/>
          </w:tcPr>
          <w:p>
            <w:pPr>
              <w:spacing w:after="40"/>
            </w:pPr>
            <w:r>
              <w:rPr>
                <w:sz w:val="19"/>
              </w:rPr>
              <w:t>Sécurité</w:t>
            </w:r>
          </w:p>
        </w:tc>
        <w:tc>
          <w:tcPr>
            <w:tcW w:type="dxa" w:w="5272"/>
          </w:tcPr>
          <w:p>
            <w:pPr>
              <w:spacing w:after="40"/>
            </w:pPr>
            <w:r>
              <w:rPr>
                <w:sz w:val="19"/>
              </w:rPr>
              <w:t>Mots de passe conservés sous forme d'empreinte ; jetons d'activation et de réinitialisation hachés, à usage unique et datés ; requêtes paramétrées ; cloisonnement des données par rôle.</w:t>
            </w:r>
          </w:p>
        </w:tc>
        <w:tc>
          <w:tcPr>
            <w:tcW w:type="dxa" w:w="1417"/>
          </w:tcPr>
          <w:p>
            <w:pPr>
              <w:spacing w:after="40"/>
            </w:pPr>
            <w:r>
              <w:rPr>
                <w:sz w:val="19"/>
              </w:rPr>
              <w:t>atteint</w:t>
            </w:r>
          </w:p>
        </w:tc>
      </w:tr>
      <w:tr>
        <w:tc>
          <w:tcPr>
            <w:tcW w:type="dxa" w:w="1814"/>
          </w:tcPr>
          <w:p>
            <w:pPr>
              <w:spacing w:after="40"/>
            </w:pPr>
            <w:r>
              <w:rPr>
                <w:sz w:val="19"/>
              </w:rPr>
              <w:t>Explicabilité</w:t>
            </w:r>
          </w:p>
        </w:tc>
        <w:tc>
          <w:tcPr>
            <w:tcW w:type="dxa" w:w="5272"/>
          </w:tcPr>
          <w:p>
            <w:pPr>
              <w:spacing w:after="40"/>
            </w:pPr>
            <w:r>
              <w:rPr>
                <w:sz w:val="19"/>
              </w:rPr>
              <w:t>Chaque offre recommandée est accompagnée des raisons qui l'ont fait retenir, et le détail des cinq composantes du score est conservé en base.</w:t>
            </w:r>
          </w:p>
        </w:tc>
        <w:tc>
          <w:tcPr>
            <w:tcW w:type="dxa" w:w="1417"/>
          </w:tcPr>
          <w:p>
            <w:pPr>
              <w:spacing w:after="40"/>
            </w:pPr>
            <w:r>
              <w:rPr>
                <w:sz w:val="19"/>
              </w:rPr>
              <w:t>atteint</w:t>
            </w:r>
          </w:p>
        </w:tc>
      </w:tr>
      <w:tr>
        <w:tc>
          <w:tcPr>
            <w:tcW w:type="dxa" w:w="1814"/>
          </w:tcPr>
          <w:p>
            <w:pPr>
              <w:spacing w:after="40"/>
            </w:pPr>
            <w:r>
              <w:rPr>
                <w:sz w:val="19"/>
              </w:rPr>
              <w:t>Accessibilité et ergonomie</w:t>
            </w:r>
          </w:p>
        </w:tc>
        <w:tc>
          <w:tcPr>
            <w:tcW w:type="dxa" w:w="5272"/>
          </w:tcPr>
          <w:p>
            <w:pPr>
              <w:spacing w:after="40"/>
            </w:pPr>
            <w:r>
              <w:rPr>
                <w:sz w:val="19"/>
              </w:rPr>
              <w:t>Interface adaptative, éprouvée lors de la campagne de tests décrite en 4.3.3.</w:t>
            </w:r>
          </w:p>
        </w:tc>
        <w:tc>
          <w:tcPr>
            <w:tcW w:type="dxa" w:w="1417"/>
          </w:tcPr>
          <w:p>
            <w:pPr>
              <w:spacing w:after="40"/>
            </w:pPr>
            <w:r>
              <w:rPr>
                <w:sz w:val="19"/>
              </w:rPr>
              <w:t>atteint</w:t>
            </w:r>
          </w:p>
        </w:tc>
      </w:tr>
      <w:tr>
        <w:tc>
          <w:tcPr>
            <w:tcW w:type="dxa" w:w="1814"/>
          </w:tcPr>
          <w:p>
            <w:pPr>
              <w:spacing w:after="40"/>
            </w:pPr>
            <w:r>
              <w:rPr>
                <w:sz w:val="19"/>
              </w:rPr>
              <w:t>Maintenabilité</w:t>
            </w:r>
          </w:p>
        </w:tc>
        <w:tc>
          <w:tcPr>
            <w:tcW w:type="dxa" w:w="5272"/>
          </w:tcPr>
          <w:p>
            <w:pPr>
              <w:spacing w:after="40"/>
            </w:pPr>
            <w:r>
              <w:rPr>
                <w:sz w:val="19"/>
              </w:rPr>
              <w:t>Une même règle de calcul n'est écrite qu'une fois : les quatre fonctionnalités qui dépendent du moteur appellent la même fonction d'évaluation.</w:t>
            </w:r>
          </w:p>
        </w:tc>
        <w:tc>
          <w:tcPr>
            <w:tcW w:type="dxa" w:w="1417"/>
          </w:tcPr>
          <w:p>
            <w:pPr>
              <w:spacing w:after="40"/>
            </w:pPr>
            <w:r>
              <w:rPr>
                <w:sz w:val="19"/>
              </w:rPr>
              <w:t>atteint</w:t>
            </w:r>
          </w:p>
        </w:tc>
      </w:tr>
      <w:tr>
        <w:tc>
          <w:tcPr>
            <w:tcW w:type="dxa" w:w="1814"/>
          </w:tcPr>
          <w:p>
            <w:pPr>
              <w:spacing w:after="40"/>
            </w:pPr>
            <w:r>
              <w:rPr>
                <w:sz w:val="19"/>
              </w:rPr>
              <w:t>Scalabilité</w:t>
            </w:r>
          </w:p>
        </w:tc>
        <w:tc>
          <w:tcPr>
            <w:tcW w:type="dxa" w:w="5272"/>
          </w:tcPr>
          <w:p>
            <w:pPr>
              <w:spacing w:after="40"/>
            </w:pPr>
            <w:r>
              <w:rPr>
                <w:sz w:val="19"/>
              </w:rPr>
              <w:t>L'architecture supporte la croissance, mais elle n'a pas été éprouvée au-delà du jeu de démonstration. Aucune montée en charge n'a été conduite.</w:t>
            </w:r>
          </w:p>
        </w:tc>
        <w:tc>
          <w:tcPr>
            <w:tcW w:type="dxa" w:w="1417"/>
          </w:tcPr>
          <w:p>
            <w:pPr>
              <w:spacing w:after="40"/>
            </w:pPr>
            <w:r>
              <w:rPr>
                <w:b/>
                <w:sz w:val="19"/>
              </w:rPr>
              <w:t>partiel</w:t>
            </w:r>
          </w:p>
        </w:tc>
      </w:tr>
    </w:tbl>
    <w:p>
      <w:pPr>
        <w:spacing w:after="40"/>
      </w:pPr>
    </w:p>
    <w:p>
      <w:r>
        <w:rPr>
          <w:b/>
          <w:sz w:val="22"/>
        </w:rPr>
        <w:t>Une exigence a été retirée.</w:t>
      </w:r>
      <w:r>
        <w:rPr>
          <w:sz w:val="22"/>
        </w:rPr>
        <w:t xml:space="preserve"> La spécification initiale annonçait une sauvegarde automatique des données. Aucune n'a été mise en place : la maintenir aurait été une promesse invérifiable. Elle a été remplacée par l'exigence de robustesse ci-dessus, qui décrit un comportement réellement implémenté, et figure désormais parmi les points à améliorer.</w:t>
      </w:r>
    </w:p>
    <w:p>
      <w:r>
        <w:br w:type="page"/>
      </w:r>
    </w:p>
    <w:p>
      <w:pPr>
        <w:pStyle w:val="Heading2"/>
      </w:pPr>
      <w:r>
        <w:t>4.3  Évaluation de l'application</w:t>
      </w:r>
    </w:p>
    <w:p>
      <w:pPr>
        <w:pStyle w:val="Heading3"/>
      </w:pPr>
      <w:r>
        <w:t>4.3.1  Démarche d'évaluation</w:t>
      </w:r>
    </w:p>
    <w:p>
      <w:r>
        <w:rPr>
          <w:sz w:val="22"/>
        </w:rPr>
        <w:t>L'évaluation poursuit deux objectifs de nature différente, et emploie deux démarches distinctes.</w:t>
      </w:r>
    </w:p>
    <w:p>
      <w:r>
        <w:rPr>
          <w:b/>
          <w:sz w:val="22"/>
        </w:rPr>
        <w:t>Évaluer le logiciel</w:t>
      </w:r>
      <w:r>
        <w:rPr>
          <w:sz w:val="22"/>
        </w:rPr>
        <w:t xml:space="preserve"> revient à vérifier qu'il fait ce qu'il annonce, dans les mains d'un utilisateur. Cette vérification est empirique : mise en situation réelle, relevé des anomalies, correction, contre-vérification.</w:t>
      </w:r>
    </w:p>
    <w:p>
      <w:r>
        <w:rPr>
          <w:b/>
          <w:sz w:val="22"/>
        </w:rPr>
        <w:t>Évaluer la contribution scientifique</w:t>
      </w:r>
      <w:r>
        <w:rPr>
          <w:sz w:val="22"/>
        </w:rPr>
        <w:t xml:space="preserve">, la mesure de similarité entre compétences, est une autre affaire. Il ne s'agit plus de constater qu'une fonction s'exécute, mais d'établir si elle </w:t>
      </w:r>
      <w:r>
        <w:rPr>
          <w:b/>
          <w:sz w:val="22"/>
        </w:rPr>
        <w:t>améliore</w:t>
      </w:r>
      <w:r>
        <w:rPr>
          <w:sz w:val="22"/>
        </w:rPr>
        <w:t xml:space="preserve"> le classement des offres par rapport à la correspondance exacte qu'elle remplace. Cela exige une comparaison chiffrée, une définition explicite de la pertinence, et une protection contre les biais.</w:t>
      </w:r>
    </w:p>
    <w:p>
      <w:r>
        <w:rPr>
          <w:b/>
          <w:sz w:val="22"/>
        </w:rPr>
        <w:t>L'obstacle principal a été l'absence de vérité terrain.</w:t>
      </w:r>
      <w:r>
        <w:rPr>
          <w:sz w:val="22"/>
        </w:rPr>
        <w:t xml:space="preserve"> Le plan initial prévoyait de la tirer de l'historique des candidatures : qui a postulé, qui a été retenu. Cet historique n'existe pas : la plateforme n'a pas encore d'usage réel. Fabriquer des candidatures aurait été pire que de ne rien faire : le jeu de données aurait porté les hypothèses du modèle évalué, et la mesure n'aurait fait que les lui renvoyer.</w:t>
      </w:r>
    </w:p>
    <w:p>
      <w:r>
        <w:rPr>
          <w:sz w:val="22"/>
        </w:rPr>
        <w:t xml:space="preserve">La définition de la pertinence retenue n'emprunte donc </w:t>
      </w:r>
      <w:r>
        <w:rPr>
          <w:b/>
          <w:sz w:val="22"/>
        </w:rPr>
        <w:t>rien</w:t>
      </w:r>
      <w:r>
        <w:rPr>
          <w:sz w:val="22"/>
        </w:rPr>
        <w:t xml:space="preserve"> au modèle évalué :</w:t>
      </w:r>
    </w:p>
    <w:p>
      <w:pPr>
        <w:spacing w:before="200" w:after="40"/>
        <w:ind w:left="567"/>
        <w:shd w:val="clear" w:color="auto" w:fill="F4F5F9"/>
        <w:pBdr>
          <w:left w:val="single" w:sz="18" w:space="8" w:color="31356E"/>
        </w:pBdr>
      </w:pPr>
      <w:r>
        <w:rPr>
          <w:rFonts w:ascii="Cambria Math" w:hAnsi="Cambria Math"/>
          <w:sz w:val="23"/>
        </w:rPr>
        <w:t>Une offre est pertinente pour un étudiant s'il possède toutes ses</w:t>
      </w:r>
    </w:p>
    <w:p>
      <w:pPr>
        <w:spacing w:before="40" w:after="200"/>
        <w:ind w:left="567"/>
        <w:shd w:val="clear" w:color="auto" w:fill="F4F5F9"/>
        <w:pBdr>
          <w:left w:val="single" w:sz="18" w:space="8" w:color="31356E"/>
        </w:pBdr>
      </w:pPr>
      <w:r>
        <w:rPr>
          <w:rFonts w:ascii="Cambria Math" w:hAnsi="Cambria Math"/>
          <w:sz w:val="23"/>
        </w:rPr>
        <w:t>compétences obligatoires, au sens strict de l'égalité d'identifiant.</w:t>
      </w:r>
    </w:p>
    <w:p>
      <w:r>
        <w:rPr>
          <w:sz w:val="22"/>
        </w:rPr>
        <w:t xml:space="preserve">C'est de la correspondance exacte, c'est-à-dire </w:t>
      </w:r>
      <w:r>
        <w:rPr>
          <w:b/>
          <w:sz w:val="22"/>
        </w:rPr>
        <w:t>le critère de la baseline elle-même</w:t>
      </w:r>
      <w:r>
        <w:rPr>
          <w:sz w:val="22"/>
        </w:rPr>
        <w:t>. Ce choix défavorise délibérément la contribution : tout gain qu'elle obtiendra sera conservateur, puisqu'elle est jugée par la mesure qu'elle prétend dépasser.</w:t>
      </w:r>
    </w:p>
    <w:p>
      <w:pPr>
        <w:pStyle w:val="Heading3"/>
      </w:pPr>
      <w:r>
        <w:t>4.3.2  Protocole et jeu de données</w:t>
      </w:r>
    </w:p>
    <w:p>
      <w:r>
        <w:rPr>
          <w:sz w:val="22"/>
        </w:rPr>
        <w:t xml:space="preserve">Le protocole retenu est celui de </w:t>
      </w:r>
      <w:r>
        <w:rPr>
          <w:b/>
          <w:sz w:val="22"/>
        </w:rPr>
        <w:t>l'ablation</w:t>
      </w:r>
      <w:r>
        <w:rPr>
          <w:sz w:val="22"/>
        </w:rPr>
        <w:t>. Le profil d'un étudiant est dégradé en lui retirant une compétence, puis les deux systèmes sont sommés de retrouver le classement d'origine.</w:t>
      </w:r>
    </w:p>
    <w:p>
      <w:pPr>
        <w:pStyle w:val="ListBullet"/>
        <w:spacing w:after="60"/>
      </w:pPr>
      <w:r>
        <w:rPr>
          <w:b/>
          <w:sz w:val="22"/>
        </w:rPr>
        <w:t>La correspondance exacte</w:t>
      </w:r>
      <w:r>
        <w:rPr>
          <w:sz w:val="22"/>
        </w:rPr>
        <w:t xml:space="preserve"> ne peut plus voir l'offre : la compétence qu'elle exigeait a disparu du profil.</w:t>
      </w:r>
    </w:p>
    <w:p>
      <w:pPr>
        <w:pStyle w:val="ListBullet"/>
        <w:spacing w:after="60"/>
      </w:pPr>
      <w:r>
        <w:rPr>
          <w:b/>
          <w:sz w:val="22"/>
        </w:rPr>
        <w:t>La co-occurrence</w:t>
      </w:r>
      <w:r>
        <w:rPr>
          <w:sz w:val="22"/>
        </w:rPr>
        <w:t xml:space="preserve"> peut la retrouver, si le corpus lui a appris qu'une compétence restante en est proche.</w:t>
      </w:r>
    </w:p>
    <w:p>
      <w:r>
        <w:rPr>
          <w:sz w:val="22"/>
        </w:rPr>
        <w:t xml:space="preserve">Cette situation n'est pas artificielle : </w:t>
      </w:r>
      <w:r>
        <w:rPr>
          <w:b/>
          <w:sz w:val="22"/>
        </w:rPr>
        <w:t>un profil incomplet est le cas normal</w:t>
      </w:r>
      <w:r>
        <w:rPr>
          <w:sz w:val="22"/>
        </w:rPr>
        <w:t>, pas l'exception. Un étudiant ne déclare jamais l'intégralité de ce qu'il sait faire.</w:t>
      </w:r>
    </w:p>
    <w:p>
      <w:r>
        <w:rPr>
          <w:b/>
          <w:sz w:val="22"/>
        </w:rPr>
        <w:t>La comparaison porte sur le code de production lui-même.</w:t>
      </w:r>
      <w:r>
        <w:rPr>
          <w:sz w:val="22"/>
        </w:rPr>
        <w:t xml:space="preserve"> La fonction de calcul du score accepte un paramètre optionnel : absent, elle applique la correspondance exacte ; fourni, elle applique la similarité. Aucune réimplémentation n'a été écrite pour la mesure, ce qui écarte le risque d'une baseline de complaisance.</w:t>
      </w:r>
    </w:p>
    <w:p>
      <w:r>
        <w:rPr>
          <w:b/>
          <w:sz w:val="22"/>
        </w:rPr>
        <w:t>Contre la fuite d'information.</w:t>
      </w:r>
      <w:r>
        <w:rPr>
          <w:sz w:val="22"/>
        </w:rPr>
        <w:t xml:space="preserve"> La matrice de similarité apprend des offres </w:t>
      </w:r>
      <w:r>
        <w:rPr>
          <w:b/>
          <w:sz w:val="22"/>
        </w:rPr>
        <w:t>et</w:t>
      </w:r>
      <w:r>
        <w:rPr>
          <w:sz w:val="22"/>
        </w:rPr>
        <w:t xml:space="preserve"> des profils étudiants : elle voit donc le profil qu'on s'apprête à évaluer. La construction de la matrice a reçu un paramètre d'exclusion de contextes, réservé à l'évaluation et jamais employé en production, qui permet de la reconstruire sans le contexte évalué.</w:t>
      </w:r>
    </w:p>
    <w:p>
      <w:pPr>
        <w:spacing w:before="160" w:after="80"/>
      </w:pPr>
      <w:r>
        <w:rPr>
          <w:color w:val="565B6E"/>
          <w:sz w:val="18"/>
        </w:rPr>
        <w:t>Tableau 4.04 : Les quatre protocoles</w:t>
      </w:r>
    </w:p>
    <w:tbl>
      <w:tblPr>
        <w:tblStyle w:val="TableGrid"/>
        <w:tblW w:type="auto" w:w="0"/>
        <w:jc w:val="left"/>
        <w:tblLook w:firstColumn="1" w:firstRow="1" w:lastColumn="0" w:lastRow="0" w:noHBand="0" w:noVBand="1" w:val="04A0"/>
      </w:tblPr>
      <w:tblGrid>
        <w:gridCol w:w="2946"/>
        <w:gridCol w:w="2946"/>
        <w:gridCol w:w="2946"/>
      </w:tblGrid>
      <w:tr>
        <w:tc>
          <w:tcPr>
            <w:tcW w:type="dxa" w:w="2268"/>
            <w:shd w:val="clear" w:color="auto" w:fill="E2E5EE"/>
          </w:tcPr>
          <w:p>
            <w:pPr>
              <w:spacing w:after="40"/>
            </w:pPr>
            <w:r/>
            <w:r>
              <w:rPr>
                <w:b/>
                <w:sz w:val="19"/>
              </w:rPr>
              <w:t>Protocole</w:t>
            </w:r>
          </w:p>
        </w:tc>
        <w:tc>
          <w:tcPr>
            <w:tcW w:type="dxa" w:w="3118"/>
            <w:shd w:val="clear" w:color="auto" w:fill="E2E5EE"/>
          </w:tcPr>
          <w:p>
            <w:pPr>
              <w:spacing w:after="40"/>
            </w:pPr>
            <w:r/>
            <w:r>
              <w:rPr>
                <w:b/>
                <w:sz w:val="19"/>
              </w:rPr>
              <w:t>Univers de classement</w:t>
            </w:r>
          </w:p>
        </w:tc>
        <w:tc>
          <w:tcPr>
            <w:tcW w:type="dxa" w:w="3118"/>
            <w:shd w:val="clear" w:color="auto" w:fill="E2E5EE"/>
          </w:tcPr>
          <w:p>
            <w:pPr>
              <w:spacing w:after="40"/>
            </w:pPr>
            <w:r/>
            <w:r>
              <w:rPr>
                <w:b/>
                <w:sz w:val="19"/>
              </w:rPr>
              <w:t>Matrice apprise sans</w:t>
            </w:r>
          </w:p>
        </w:tc>
      </w:tr>
      <w:tr>
        <w:tc>
          <w:tcPr>
            <w:tcW w:type="dxa" w:w="2268"/>
          </w:tcPr>
          <w:p>
            <w:pPr>
              <w:spacing w:after="40"/>
            </w:pPr>
            <w:r>
              <w:rPr>
                <w:sz w:val="19"/>
              </w:rPr>
              <w:t>A : effet global</w:t>
            </w:r>
          </w:p>
        </w:tc>
        <w:tc>
          <w:tcPr>
            <w:tcW w:type="dxa" w:w="3118"/>
          </w:tcPr>
          <w:p>
            <w:pPr>
              <w:spacing w:after="40"/>
            </w:pPr>
            <w:r>
              <w:rPr>
                <w:sz w:val="19"/>
              </w:rPr>
              <w:t>67 offres</w:t>
            </w:r>
          </w:p>
        </w:tc>
        <w:tc>
          <w:tcPr>
            <w:tcW w:type="dxa" w:w="3118"/>
          </w:tcPr>
          <w:p>
            <w:pPr>
              <w:spacing w:after="40"/>
            </w:pPr>
            <w:r>
              <w:rPr>
                <w:sz w:val="19"/>
              </w:rPr>
              <w:t>le profil de l'étudiant évalué</w:t>
            </w:r>
          </w:p>
        </w:tc>
      </w:tr>
      <w:tr>
        <w:tc>
          <w:tcPr>
            <w:tcW w:type="dxa" w:w="2268"/>
          </w:tcPr>
          <w:p>
            <w:pPr>
              <w:spacing w:after="40"/>
            </w:pPr>
            <w:r>
              <w:rPr>
                <w:sz w:val="19"/>
              </w:rPr>
              <w:t>B : anti-fuite</w:t>
            </w:r>
          </w:p>
        </w:tc>
        <w:tc>
          <w:tcPr>
            <w:tcW w:type="dxa" w:w="3118"/>
          </w:tcPr>
          <w:p>
            <w:pPr>
              <w:spacing w:after="40"/>
            </w:pPr>
            <w:r>
              <w:rPr>
                <w:sz w:val="19"/>
              </w:rPr>
              <w:t>33 offres de test</w:t>
            </w:r>
          </w:p>
        </w:tc>
        <w:tc>
          <w:tcPr>
            <w:tcW w:type="dxa" w:w="3118"/>
          </w:tcPr>
          <w:p>
            <w:pPr>
              <w:spacing w:after="40"/>
            </w:pPr>
            <w:r>
              <w:rPr>
                <w:sz w:val="19"/>
              </w:rPr>
              <w:t xml:space="preserve">le profil </w:t>
            </w:r>
            <w:r>
              <w:rPr>
                <w:b/>
                <w:sz w:val="19"/>
              </w:rPr>
              <w:t>et</w:t>
            </w:r>
            <w:r>
              <w:rPr>
                <w:sz w:val="19"/>
              </w:rPr>
              <w:t xml:space="preserve"> les 33 offres évaluées</w:t>
            </w:r>
          </w:p>
        </w:tc>
      </w:tr>
      <w:tr>
        <w:tc>
          <w:tcPr>
            <w:tcW w:type="dxa" w:w="2268"/>
          </w:tcPr>
          <w:p>
            <w:pPr>
              <w:spacing w:after="40"/>
            </w:pPr>
            <w:r>
              <w:rPr>
                <w:sz w:val="19"/>
              </w:rPr>
              <w:t>C : pertinence restreinte</w:t>
            </w:r>
          </w:p>
        </w:tc>
        <w:tc>
          <w:tcPr>
            <w:tcW w:type="dxa" w:w="3118"/>
          </w:tcPr>
          <w:p>
            <w:pPr>
              <w:spacing w:after="40"/>
            </w:pPr>
            <w:r>
              <w:rPr>
                <w:sz w:val="19"/>
              </w:rPr>
              <w:t>67 offres</w:t>
            </w:r>
          </w:p>
        </w:tc>
        <w:tc>
          <w:tcPr>
            <w:tcW w:type="dxa" w:w="3118"/>
          </w:tcPr>
          <w:p>
            <w:pPr>
              <w:spacing w:after="40"/>
            </w:pPr>
            <w:r>
              <w:rPr>
                <w:sz w:val="19"/>
              </w:rPr>
              <w:t>le profil de l'étudiant évalué</w:t>
            </w:r>
          </w:p>
        </w:tc>
      </w:tr>
      <w:tr>
        <w:tc>
          <w:tcPr>
            <w:tcW w:type="dxa" w:w="2268"/>
          </w:tcPr>
          <w:p>
            <w:pPr>
              <w:spacing w:after="40"/>
            </w:pPr>
            <w:r>
              <w:rPr>
                <w:sz w:val="19"/>
              </w:rPr>
              <w:t>D : mécanisme isolé</w:t>
            </w:r>
          </w:p>
        </w:tc>
        <w:tc>
          <w:tcPr>
            <w:tcW w:type="dxa" w:w="3118"/>
          </w:tcPr>
          <w:p>
            <w:pPr>
              <w:spacing w:after="40"/>
            </w:pPr>
            <w:r>
              <w:rPr>
                <w:sz w:val="19"/>
              </w:rPr>
              <w:t>67 offres, score compétences seul</w:t>
            </w:r>
          </w:p>
        </w:tc>
        <w:tc>
          <w:tcPr>
            <w:tcW w:type="dxa" w:w="3118"/>
          </w:tcPr>
          <w:p>
            <w:pPr>
              <w:spacing w:after="40"/>
            </w:pPr>
            <w:r>
              <w:rPr>
                <w:sz w:val="19"/>
              </w:rPr>
              <w:t>le profil de l'étudiant évalué</w:t>
            </w:r>
          </w:p>
        </w:tc>
      </w:tr>
    </w:tbl>
    <w:p>
      <w:pPr>
        <w:spacing w:after="40"/>
      </w:pPr>
    </w:p>
    <w:p>
      <w:r>
        <w:rPr>
          <w:b/>
          <w:sz w:val="22"/>
        </w:rPr>
        <w:t>B est le contrôle sévère</w:t>
      </w:r>
      <w:r>
        <w:rPr>
          <w:sz w:val="22"/>
        </w:rPr>
        <w:t xml:space="preserve"> : aucune des offres classées n'a servi à l'apprentissage. </w:t>
      </w:r>
      <w:r>
        <w:rPr>
          <w:b/>
          <w:sz w:val="22"/>
        </w:rPr>
        <w:t>D isole le mécanisme</w:t>
      </w:r>
      <w:r>
        <w:rPr>
          <w:sz w:val="22"/>
        </w:rPr>
        <w:t xml:space="preserve"> : les compétences ne pèsent que 40 % du score global, et les 60 % restants (filière, niveau, localisation, préférences) sont identiques dans les deux bras et classent déjà correctement une part des offres. D classe sur la seule composante que la matrice influence.</w:t>
      </w:r>
    </w:p>
    <w:p>
      <w:r>
        <w:rPr>
          <w:b/>
          <w:sz w:val="22"/>
        </w:rPr>
        <w:t>Le jeu de données</w:t>
      </w:r>
      <w:r>
        <w:rPr>
          <w:sz w:val="22"/>
        </w:rPr>
        <w:t xml:space="preserve"> est celui de la démonstration : 67 offres, 38 étudiants, 83 paires pertinentes. Le corpus d'apprentissage du moteur compte 103 contextes exploitables, produisant 185 paires de compétences observées sur 1 540 possibles.</w:t>
      </w:r>
    </w:p>
    <w:p>
      <w:pPr>
        <w:pStyle w:val="Heading3"/>
      </w:pPr>
      <w:r>
        <w:t>4.3.3  Résultats des tests fonctionnels</w:t>
      </w:r>
    </w:p>
    <w:p>
      <w:r>
        <w:rPr>
          <w:sz w:val="22"/>
        </w:rPr>
        <w:t xml:space="preserve">Une </w:t>
      </w:r>
      <w:r>
        <w:rPr>
          <w:b/>
          <w:sz w:val="22"/>
        </w:rPr>
        <w:t>campagne de mise en situation réelle</w:t>
      </w:r>
      <w:r>
        <w:rPr>
          <w:sz w:val="22"/>
        </w:rPr>
        <w:t xml:space="preserve"> a été conduite les 2 et 3 septembre 2026 sur les quatre comptes de la plateforme. Elle a produit </w:t>
      </w:r>
      <w:r>
        <w:rPr>
          <w:b/>
          <w:sz w:val="22"/>
        </w:rPr>
        <w:t>17 remarques</w:t>
      </w:r>
      <w:r>
        <w:rPr>
          <w:sz w:val="22"/>
        </w:rPr>
        <w:t>, dont 16 ont donné lieu à une correction ; la dernière était une question de fonctionnement, non un défaut.</w:t>
      </w:r>
    </w:p>
    <w:p>
      <w:pPr>
        <w:spacing w:before="160" w:after="80"/>
      </w:pPr>
      <w:r>
        <w:rPr>
          <w:color w:val="565B6E"/>
          <w:sz w:val="18"/>
        </w:rPr>
        <w:t>Tableau 4.05 : Répartition des remarques par compte</w:t>
      </w:r>
    </w:p>
    <w:tbl>
      <w:tblPr>
        <w:tblStyle w:val="TableGrid"/>
        <w:tblW w:type="auto" w:w="0"/>
        <w:jc w:val="left"/>
        <w:tblLook w:firstColumn="1" w:firstRow="1" w:lastColumn="0" w:lastRow="0" w:noHBand="0" w:noVBand="1" w:val="04A0"/>
      </w:tblPr>
      <w:tblGrid>
        <w:gridCol w:w="2946"/>
        <w:gridCol w:w="2946"/>
        <w:gridCol w:w="2946"/>
      </w:tblGrid>
      <w:tr>
        <w:tc>
          <w:tcPr>
            <w:tcW w:type="dxa" w:w="1701"/>
            <w:shd w:val="clear" w:color="auto" w:fill="E2E5EE"/>
          </w:tcPr>
          <w:p>
            <w:pPr>
              <w:spacing w:after="40"/>
            </w:pPr>
            <w:r/>
            <w:r>
              <w:rPr>
                <w:b/>
                <w:sz w:val="19"/>
              </w:rPr>
              <w:t>Compte</w:t>
            </w:r>
          </w:p>
        </w:tc>
        <w:tc>
          <w:tcPr>
            <w:tcW w:type="dxa" w:w="1417"/>
            <w:shd w:val="clear" w:color="auto" w:fill="E2E5EE"/>
          </w:tcPr>
          <w:p>
            <w:pPr>
              <w:spacing w:after="40"/>
            </w:pPr>
            <w:r/>
            <w:r>
              <w:rPr>
                <w:b/>
                <w:sz w:val="19"/>
              </w:rPr>
              <w:t>Remarques</w:t>
            </w:r>
          </w:p>
        </w:tc>
        <w:tc>
          <w:tcPr>
            <w:tcW w:type="dxa" w:w="5386"/>
            <w:shd w:val="clear" w:color="auto" w:fill="E2E5EE"/>
          </w:tcPr>
          <w:p>
            <w:pPr>
              <w:spacing w:after="40"/>
            </w:pPr>
            <w:r/>
            <w:r>
              <w:rPr>
                <w:b/>
                <w:sz w:val="19"/>
              </w:rPr>
              <w:t>Nature dominante</w:t>
            </w:r>
          </w:p>
        </w:tc>
      </w:tr>
      <w:tr>
        <w:tc>
          <w:tcPr>
            <w:tcW w:type="dxa" w:w="1701"/>
          </w:tcPr>
          <w:p>
            <w:pPr>
              <w:spacing w:after="40"/>
            </w:pPr>
            <w:r>
              <w:rPr>
                <w:sz w:val="19"/>
              </w:rPr>
              <w:t>Étudiant</w:t>
            </w:r>
          </w:p>
        </w:tc>
        <w:tc>
          <w:tcPr>
            <w:tcW w:type="dxa" w:w="1417"/>
          </w:tcPr>
          <w:p>
            <w:pPr>
              <w:spacing w:after="40"/>
              <w:jc w:val="right"/>
            </w:pPr>
            <w:r>
              <w:rPr>
                <w:sz w:val="19"/>
              </w:rPr>
              <w:t>8</w:t>
            </w:r>
          </w:p>
        </w:tc>
        <w:tc>
          <w:tcPr>
            <w:tcW w:type="dxa" w:w="5386"/>
          </w:tcPr>
          <w:p>
            <w:pPr>
              <w:spacing w:after="40"/>
            </w:pPr>
            <w:r>
              <w:rPr>
                <w:sz w:val="19"/>
              </w:rPr>
              <w:t>suivi des candidatures, chronomètre du questionnaire, documents complémentaires, lisibilité des états d'analyse</w:t>
            </w:r>
          </w:p>
        </w:tc>
      </w:tr>
      <w:tr>
        <w:tc>
          <w:tcPr>
            <w:tcW w:type="dxa" w:w="1701"/>
          </w:tcPr>
          <w:p>
            <w:pPr>
              <w:spacing w:after="40"/>
            </w:pPr>
            <w:r>
              <w:rPr>
                <w:sz w:val="19"/>
              </w:rPr>
              <w:t>Entreprise</w:t>
            </w:r>
          </w:p>
        </w:tc>
        <w:tc>
          <w:tcPr>
            <w:tcW w:type="dxa" w:w="1417"/>
          </w:tcPr>
          <w:p>
            <w:pPr>
              <w:spacing w:after="40"/>
              <w:jc w:val="right"/>
            </w:pPr>
            <w:r>
              <w:rPr>
                <w:sz w:val="19"/>
              </w:rPr>
              <w:t>5</w:t>
            </w:r>
          </w:p>
        </w:tc>
        <w:tc>
          <w:tcPr>
            <w:tcW w:type="dxa" w:w="5386"/>
          </w:tcPr>
          <w:p>
            <w:pPr>
              <w:spacing w:after="40"/>
            </w:pPr>
            <w:r>
              <w:rPr>
                <w:sz w:val="19"/>
              </w:rPr>
              <w:t>documents de candidature, vue consolidée du dossier, simplification de la recherche de candidats</w:t>
            </w:r>
          </w:p>
        </w:tc>
      </w:tr>
      <w:tr>
        <w:tc>
          <w:tcPr>
            <w:tcW w:type="dxa" w:w="1701"/>
          </w:tcPr>
          <w:p>
            <w:pPr>
              <w:spacing w:after="40"/>
            </w:pPr>
            <w:r>
              <w:rPr>
                <w:sz w:val="19"/>
              </w:rPr>
              <w:t>Administrateur</w:t>
            </w:r>
          </w:p>
        </w:tc>
        <w:tc>
          <w:tcPr>
            <w:tcW w:type="dxa" w:w="1417"/>
          </w:tcPr>
          <w:p>
            <w:pPr>
              <w:spacing w:after="40"/>
              <w:jc w:val="right"/>
            </w:pPr>
            <w:r>
              <w:rPr>
                <w:sz w:val="19"/>
              </w:rPr>
              <w:t>2</w:t>
            </w:r>
          </w:p>
        </w:tc>
        <w:tc>
          <w:tcPr>
            <w:tcW w:type="dxa" w:w="5386"/>
          </w:tcPr>
          <w:p>
            <w:pPr>
              <w:spacing w:after="40"/>
            </w:pPr>
            <w:r>
              <w:rPr>
                <w:sz w:val="19"/>
              </w:rPr>
              <w:t>palette et iconographie du tableau de bord</w:t>
            </w:r>
          </w:p>
        </w:tc>
      </w:tr>
      <w:tr>
        <w:tc>
          <w:tcPr>
            <w:tcW w:type="dxa" w:w="1701"/>
          </w:tcPr>
          <w:p>
            <w:pPr>
              <w:spacing w:after="40"/>
            </w:pPr>
            <w:r>
              <w:rPr>
                <w:sz w:val="19"/>
              </w:rPr>
              <w:t>Université</w:t>
            </w:r>
          </w:p>
        </w:tc>
        <w:tc>
          <w:tcPr>
            <w:tcW w:type="dxa" w:w="1417"/>
          </w:tcPr>
          <w:p>
            <w:pPr>
              <w:spacing w:after="40"/>
              <w:jc w:val="right"/>
            </w:pPr>
            <w:r>
              <w:rPr>
                <w:sz w:val="19"/>
              </w:rPr>
              <w:t>2</w:t>
            </w:r>
          </w:p>
        </w:tc>
        <w:tc>
          <w:tcPr>
            <w:tcW w:type="dxa" w:w="5386"/>
          </w:tcPr>
          <w:p>
            <w:pPr>
              <w:spacing w:after="40"/>
            </w:pPr>
            <w:r>
              <w:rPr>
                <w:sz w:val="19"/>
              </w:rPr>
              <w:t>distinction entre rattachement et vérification d'identité</w:t>
            </w:r>
          </w:p>
        </w:tc>
      </w:tr>
    </w:tbl>
    <w:p>
      <w:pPr>
        <w:spacing w:after="40"/>
      </w:pPr>
    </w:p>
    <w:p>
      <w:r>
        <w:rPr>
          <w:b/>
          <w:sz w:val="22"/>
        </w:rPr>
        <w:t>L'enseignement de cette campagne dépasse la liste des corrections.</w:t>
      </w:r>
      <w:r>
        <w:rPr>
          <w:sz w:val="22"/>
        </w:rPr>
        <w:t xml:space="preserve"> Aucune des remarques ne portait sur une fonction absente : toutes portaient sur des fonctions présentes mais dont l'état n'était pas lisible. Un étudiant ne savait pas où en était sa candidature ; une entreprise ne retrouvait pas les pièces d'un dossier ; un badge de vérification se confondait avec un badge de rattachement. </w:t>
      </w:r>
      <w:r>
        <w:rPr>
          <w:b/>
          <w:sz w:val="22"/>
        </w:rPr>
        <w:t>La difficulté n'était pas de faire, mais de montrer ce qui avait été fait.</w:t>
      </w:r>
    </w:p>
    <w:p>
      <w:pPr>
        <w:pStyle w:val="Heading3"/>
      </w:pPr>
      <w:r>
        <w:t>Mesure de la chaîne d'extraction des curriculum vitae</w:t>
      </w:r>
    </w:p>
    <w:p>
      <w:r>
        <w:rPr>
          <w:sz w:val="22"/>
        </w:rPr>
        <w:t xml:space="preserve">L'extraction a été mesurée séparément, sur un corpus de 38 CV dont la vérité terrain est </w:t>
      </w:r>
      <w:r>
        <w:rPr>
          <w:b/>
          <w:sz w:val="22"/>
        </w:rPr>
        <w:t>exacte par construction</w:t>
      </w:r>
      <w:r>
        <w:rPr>
          <w:sz w:val="22"/>
        </w:rPr>
        <w:t xml:space="preserve"> : les CV ayant été rédigés pour la mesure, les compétences qu'ils contiennent sont connues sans ambiguïté.</w:t>
      </w:r>
    </w:p>
    <w:p>
      <w:pPr>
        <w:spacing w:before="160" w:after="80"/>
      </w:pPr>
      <w:r>
        <w:rPr>
          <w:color w:val="565B6E"/>
          <w:sz w:val="18"/>
        </w:rPr>
        <w:t>Tableau 4.06 : Qualité de l'extraction des compétences</w:t>
      </w:r>
    </w:p>
    <w:tbl>
      <w:tblPr>
        <w:tblStyle w:val="TableGrid"/>
        <w:tblW w:type="auto" w:w="0"/>
        <w:jc w:val="left"/>
        <w:tblLook w:firstColumn="1" w:firstRow="1" w:lastColumn="0" w:lastRow="0" w:noHBand="0" w:noVBand="1" w:val="04A0"/>
      </w:tblPr>
      <w:tblGrid>
        <w:gridCol w:w="4419"/>
        <w:gridCol w:w="4419"/>
      </w:tblGrid>
      <w:tr>
        <w:tc>
          <w:tcPr>
            <w:tcW w:type="dxa" w:w="4535"/>
            <w:shd w:val="clear" w:color="auto" w:fill="E2E5EE"/>
          </w:tcPr>
          <w:p>
            <w:pPr>
              <w:spacing w:after="40"/>
            </w:pPr>
            <w:r/>
            <w:r>
              <w:rPr>
                <w:b/>
                <w:sz w:val="19"/>
              </w:rPr>
              <w:t>Mesure</w:t>
            </w:r>
          </w:p>
        </w:tc>
        <w:tc>
          <w:tcPr>
            <w:tcW w:type="dxa" w:w="3969"/>
            <w:shd w:val="clear" w:color="auto" w:fill="E2E5EE"/>
          </w:tcPr>
          <w:p>
            <w:pPr>
              <w:spacing w:after="40"/>
            </w:pPr>
            <w:r/>
            <w:r>
              <w:rPr>
                <w:b/>
                <w:sz w:val="19"/>
              </w:rPr>
              <w:t>Résultat</w:t>
            </w:r>
          </w:p>
        </w:tc>
      </w:tr>
      <w:tr>
        <w:tc>
          <w:tcPr>
            <w:tcW w:type="dxa" w:w="4535"/>
          </w:tcPr>
          <w:p>
            <w:pPr>
              <w:spacing w:after="40"/>
            </w:pPr>
            <w:r>
              <w:rPr>
                <w:sz w:val="19"/>
              </w:rPr>
              <w:t>Routage de la nature du PDF</w:t>
            </w:r>
          </w:p>
        </w:tc>
        <w:tc>
          <w:tcPr>
            <w:tcW w:type="dxa" w:w="3969"/>
          </w:tcPr>
          <w:p>
            <w:pPr>
              <w:spacing w:after="40"/>
            </w:pPr>
            <w:r>
              <w:rPr>
                <w:b/>
                <w:sz w:val="19"/>
              </w:rPr>
              <w:t>38/38</w:t>
            </w:r>
          </w:p>
        </w:tc>
      </w:tr>
      <w:tr>
        <w:tc>
          <w:tcPr>
            <w:tcW w:type="dxa" w:w="4535"/>
          </w:tcPr>
          <w:p>
            <w:pPr>
              <w:spacing w:after="40"/>
            </w:pPr>
            <w:r>
              <w:rPr>
                <w:sz w:val="19"/>
              </w:rPr>
              <w:t>Recours à la reconnaissance optique</w:t>
            </w:r>
          </w:p>
        </w:tc>
        <w:tc>
          <w:tcPr>
            <w:tcW w:type="dxa" w:w="3969"/>
          </w:tcPr>
          <w:p>
            <w:pPr>
              <w:spacing w:after="40"/>
            </w:pPr>
            <w:r>
              <w:rPr>
                <w:sz w:val="19"/>
              </w:rPr>
              <w:t>22 CV (58 %)</w:t>
            </w:r>
          </w:p>
        </w:tc>
      </w:tr>
      <w:tr>
        <w:tc>
          <w:tcPr>
            <w:tcW w:type="dxa" w:w="4535"/>
          </w:tcPr>
          <w:p>
            <w:pPr>
              <w:spacing w:after="40"/>
            </w:pPr>
            <w:r>
              <w:rPr>
                <w:sz w:val="19"/>
              </w:rPr>
              <w:t>Confiance optique moyenne</w:t>
            </w:r>
          </w:p>
        </w:tc>
        <w:tc>
          <w:tcPr>
            <w:tcW w:type="dxa" w:w="3969"/>
          </w:tcPr>
          <w:p>
            <w:pPr>
              <w:spacing w:after="40"/>
            </w:pPr>
            <w:r>
              <w:rPr>
                <w:sz w:val="19"/>
              </w:rPr>
              <w:t>91,6 %</w:t>
            </w:r>
          </w:p>
        </w:tc>
      </w:tr>
      <w:tr>
        <w:tc>
          <w:tcPr>
            <w:tcW w:type="dxa" w:w="4535"/>
          </w:tcPr>
          <w:p>
            <w:pPr>
              <w:spacing w:after="40"/>
            </w:pPr>
            <w:r>
              <w:rPr>
                <w:sz w:val="19"/>
              </w:rPr>
              <w:t>Précision</w:t>
            </w:r>
          </w:p>
        </w:tc>
        <w:tc>
          <w:tcPr>
            <w:tcW w:type="dxa" w:w="3969"/>
          </w:tcPr>
          <w:p>
            <w:pPr>
              <w:spacing w:after="40"/>
            </w:pPr>
            <w:r>
              <w:rPr>
                <w:b/>
                <w:sz w:val="19"/>
              </w:rPr>
              <w:t>98,2 %</w:t>
            </w:r>
          </w:p>
        </w:tc>
      </w:tr>
      <w:tr>
        <w:tc>
          <w:tcPr>
            <w:tcW w:type="dxa" w:w="4535"/>
          </w:tcPr>
          <w:p>
            <w:pPr>
              <w:spacing w:after="40"/>
            </w:pPr>
            <w:r>
              <w:rPr>
                <w:sz w:val="19"/>
              </w:rPr>
              <w:t>Rappel</w:t>
            </w:r>
          </w:p>
        </w:tc>
        <w:tc>
          <w:tcPr>
            <w:tcW w:type="dxa" w:w="3969"/>
          </w:tcPr>
          <w:p>
            <w:pPr>
              <w:spacing w:after="40"/>
            </w:pPr>
            <w:r>
              <w:rPr>
                <w:b/>
                <w:sz w:val="19"/>
              </w:rPr>
              <w:t>95,2 %</w:t>
            </w:r>
          </w:p>
        </w:tc>
      </w:tr>
      <w:tr>
        <w:tc>
          <w:tcPr>
            <w:tcW w:type="dxa" w:w="4535"/>
          </w:tcPr>
          <w:p>
            <w:pPr>
              <w:spacing w:after="40"/>
            </w:pPr>
            <w:r>
              <w:rPr>
                <w:sz w:val="19"/>
              </w:rPr>
              <w:t>F-mesure</w:t>
            </w:r>
          </w:p>
        </w:tc>
        <w:tc>
          <w:tcPr>
            <w:tcW w:type="dxa" w:w="3969"/>
          </w:tcPr>
          <w:p>
            <w:pPr>
              <w:spacing w:after="40"/>
            </w:pPr>
            <w:r>
              <w:rPr>
                <w:b/>
                <w:sz w:val="19"/>
              </w:rPr>
              <w:t>96,7 %</w:t>
            </w:r>
          </w:p>
        </w:tc>
      </w:tr>
    </w:tbl>
    <w:p>
      <w:pPr>
        <w:spacing w:after="40"/>
      </w:pPr>
    </w:p>
    <w:p>
      <w:r>
        <w:rPr>
          <w:b/>
          <w:sz w:val="22"/>
        </w:rPr>
        <w:t>Ce volet est un succès net.</w:t>
      </w:r>
      <w:r>
        <w:rPr>
          <w:sz w:val="22"/>
        </w:rPr>
        <w:t xml:space="preserve"> La différence avec le volet recommandation tient entièrement à la nature de la vérité terrain : celle de l'extraction est exacte, celle de la recommandation n'est qu'un proxy calculé.</w:t>
      </w:r>
    </w:p>
    <w:p>
      <w:r>
        <w:rPr>
          <w:sz w:val="22"/>
        </w:rPr>
        <w:t xml:space="preserve">Une réserve d'interprétation s'impose néanmoins : le corpus est </w:t>
      </w:r>
      <w:r>
        <w:rPr>
          <w:b/>
          <w:sz w:val="22"/>
        </w:rPr>
        <w:t>synthétique</w:t>
      </w:r>
      <w:r>
        <w:rPr>
          <w:sz w:val="22"/>
        </w:rPr>
        <w:t xml:space="preserve">. Les dégradations appliquées imitent une numérisation, elles n'en sont pas une. Ces chiffres constituent donc une </w:t>
      </w:r>
      <w:r>
        <w:rPr>
          <w:b/>
          <w:sz w:val="22"/>
        </w:rPr>
        <w:t>borne supérieure</w:t>
      </w:r>
      <w:r>
        <w:rPr>
          <w:sz w:val="22"/>
        </w:rPr>
        <w:t>, non une performance attendue en conditions réelles.</w:t>
      </w:r>
    </w:p>
    <w:p>
      <w:pPr>
        <w:pStyle w:val="Heading3"/>
      </w:pPr>
      <w:r>
        <w:t>Mesure de la contribution algorithmique</w:t>
      </w:r>
    </w:p>
    <w:p>
      <w:r>
        <w:rPr>
          <w:sz w:val="22"/>
        </w:rPr>
        <w:t>Les résultats des protocoles sont rapportés dans l'ordre où ils se lisent.</w:t>
      </w:r>
    </w:p>
    <w:p>
      <w:pPr>
        <w:spacing w:before="160" w:after="80"/>
      </w:pPr>
      <w:r>
        <w:rPr>
          <w:color w:val="565B6E"/>
          <w:sz w:val="18"/>
        </w:rPr>
        <w:t>Tableau 4.07 : Protocole A (effet global (113 ablations))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984"/>
            <w:shd w:val="clear" w:color="auto" w:fill="E2E5EE"/>
          </w:tcPr>
          <w:p>
            <w:pPr>
              <w:spacing w:after="40"/>
            </w:pPr>
            <w:r/>
            <w:r>
              <w:rPr>
                <w:b/>
                <w:sz w:val="19"/>
              </w:rPr>
              <w:t>Métrique</w:t>
            </w:r>
          </w:p>
        </w:tc>
        <w:tc>
          <w:tcPr>
            <w:tcW w:type="dxa" w:w="2268"/>
            <w:shd w:val="clear" w:color="auto" w:fill="E2E5EE"/>
          </w:tcPr>
          <w:p>
            <w:pPr>
              <w:spacing w:after="40"/>
            </w:pPr>
            <w:r/>
            <w:r>
              <w:rPr>
                <w:b/>
                <w:sz w:val="19"/>
              </w:rPr>
              <w:t>Correspondance exacte</w:t>
            </w:r>
          </w:p>
        </w:tc>
        <w:tc>
          <w:tcPr>
            <w:tcW w:type="dxa" w:w="1984"/>
            <w:shd w:val="clear" w:color="auto" w:fill="E2E5EE"/>
          </w:tcPr>
          <w:p>
            <w:pPr>
              <w:spacing w:after="40"/>
            </w:pPr>
            <w:r/>
            <w:r>
              <w:rPr>
                <w:b/>
                <w:sz w:val="19"/>
              </w:rPr>
              <w:t>Co-occurrence</w:t>
            </w:r>
          </w:p>
        </w:tc>
        <w:tc>
          <w:tcPr>
            <w:tcW w:type="dxa" w:w="2268"/>
            <w:shd w:val="clear" w:color="auto" w:fill="E2E5EE"/>
          </w:tcPr>
          <w:p>
            <w:pPr>
              <w:spacing w:after="40"/>
            </w:pPr>
            <w:r/>
            <w:r>
              <w:rPr>
                <w:b/>
                <w:sz w:val="19"/>
              </w:rPr>
              <w:t>Écart</w:t>
            </w:r>
          </w:p>
        </w:tc>
      </w:tr>
      <w:tr>
        <w:tc>
          <w:tcPr>
            <w:tcW w:type="dxa" w:w="1984"/>
          </w:tcPr>
          <w:p>
            <w:pPr>
              <w:spacing w:after="40"/>
            </w:pPr>
            <w:r>
              <w:rPr>
                <w:sz w:val="19"/>
              </w:rPr>
              <w:t>Précision@5</w:t>
            </w:r>
          </w:p>
        </w:tc>
        <w:tc>
          <w:tcPr>
            <w:tcW w:type="dxa" w:w="2268"/>
          </w:tcPr>
          <w:p>
            <w:pPr>
              <w:spacing w:after="40"/>
              <w:jc w:val="right"/>
            </w:pPr>
            <w:r>
              <w:rPr>
                <w:sz w:val="19"/>
              </w:rPr>
              <w:t>37,2 %</w:t>
            </w:r>
          </w:p>
        </w:tc>
        <w:tc>
          <w:tcPr>
            <w:tcW w:type="dxa" w:w="1984"/>
          </w:tcPr>
          <w:p>
            <w:pPr>
              <w:spacing w:after="40"/>
              <w:jc w:val="right"/>
            </w:pPr>
            <w:r>
              <w:rPr>
                <w:sz w:val="19"/>
              </w:rPr>
              <w:t>33,6 %</w:t>
            </w:r>
          </w:p>
        </w:tc>
        <w:tc>
          <w:tcPr>
            <w:tcW w:type="dxa" w:w="2268"/>
          </w:tcPr>
          <w:p>
            <w:pPr>
              <w:spacing w:after="40"/>
              <w:jc w:val="right"/>
            </w:pPr>
            <w:r>
              <w:rPr>
                <w:b/>
                <w:sz w:val="19"/>
              </w:rPr>
              <w:t>−3,5 pt</w:t>
            </w:r>
          </w:p>
        </w:tc>
      </w:tr>
      <w:tr>
        <w:tc>
          <w:tcPr>
            <w:tcW w:type="dxa" w:w="1984"/>
          </w:tcPr>
          <w:p>
            <w:pPr>
              <w:spacing w:after="40"/>
            </w:pPr>
            <w:r>
              <w:rPr>
                <w:sz w:val="19"/>
              </w:rPr>
              <w:t>Rappel@5</w:t>
            </w:r>
          </w:p>
        </w:tc>
        <w:tc>
          <w:tcPr>
            <w:tcW w:type="dxa" w:w="2268"/>
          </w:tcPr>
          <w:p>
            <w:pPr>
              <w:spacing w:after="40"/>
              <w:jc w:val="right"/>
            </w:pPr>
            <w:r>
              <w:rPr>
                <w:sz w:val="19"/>
              </w:rPr>
              <w:t>84,7 %</w:t>
            </w:r>
          </w:p>
        </w:tc>
        <w:tc>
          <w:tcPr>
            <w:tcW w:type="dxa" w:w="1984"/>
          </w:tcPr>
          <w:p>
            <w:pPr>
              <w:spacing w:after="40"/>
              <w:jc w:val="right"/>
            </w:pPr>
            <w:r>
              <w:rPr>
                <w:sz w:val="19"/>
              </w:rPr>
              <w:t>80,2 %</w:t>
            </w:r>
          </w:p>
        </w:tc>
        <w:tc>
          <w:tcPr>
            <w:tcW w:type="dxa" w:w="2268"/>
          </w:tcPr>
          <w:p>
            <w:pPr>
              <w:spacing w:after="40"/>
              <w:jc w:val="right"/>
            </w:pPr>
            <w:r>
              <w:rPr>
                <w:b/>
                <w:sz w:val="19"/>
              </w:rPr>
              <w:t>−4,5 pt</w:t>
            </w:r>
          </w:p>
        </w:tc>
      </w:tr>
      <w:tr>
        <w:tc>
          <w:tcPr>
            <w:tcW w:type="dxa" w:w="1984"/>
          </w:tcPr>
          <w:p>
            <w:pPr>
              <w:spacing w:after="40"/>
            </w:pPr>
            <w:r>
              <w:rPr>
                <w:sz w:val="19"/>
              </w:rPr>
              <w:t>NDCG@5</w:t>
            </w:r>
          </w:p>
        </w:tc>
        <w:tc>
          <w:tcPr>
            <w:tcW w:type="dxa" w:w="2268"/>
          </w:tcPr>
          <w:p>
            <w:pPr>
              <w:spacing w:after="40"/>
              <w:jc w:val="right"/>
            </w:pPr>
            <w:r>
              <w:rPr>
                <w:sz w:val="19"/>
              </w:rPr>
              <w:t>83,9 %</w:t>
            </w:r>
          </w:p>
        </w:tc>
        <w:tc>
          <w:tcPr>
            <w:tcW w:type="dxa" w:w="1984"/>
          </w:tcPr>
          <w:p>
            <w:pPr>
              <w:spacing w:after="40"/>
              <w:jc w:val="right"/>
            </w:pPr>
            <w:r>
              <w:rPr>
                <w:sz w:val="19"/>
              </w:rPr>
              <w:t>80,1 %</w:t>
            </w:r>
          </w:p>
        </w:tc>
        <w:tc>
          <w:tcPr>
            <w:tcW w:type="dxa" w:w="2268"/>
          </w:tcPr>
          <w:p>
            <w:pPr>
              <w:spacing w:after="40"/>
              <w:jc w:val="right"/>
            </w:pPr>
            <w:r>
              <w:rPr>
                <w:b/>
                <w:sz w:val="19"/>
              </w:rPr>
              <w:t>−3,8 pt</w:t>
            </w:r>
          </w:p>
        </w:tc>
      </w:tr>
      <w:tr>
        <w:tc>
          <w:tcPr>
            <w:tcW w:type="dxa" w:w="1984"/>
          </w:tcPr>
          <w:p>
            <w:pPr>
              <w:spacing w:after="40"/>
            </w:pPr>
            <w:r>
              <w:rPr>
                <w:sz w:val="19"/>
              </w:rPr>
              <w:t>MRR</w:t>
            </w:r>
          </w:p>
        </w:tc>
        <w:tc>
          <w:tcPr>
            <w:tcW w:type="dxa" w:w="2268"/>
          </w:tcPr>
          <w:p>
            <w:pPr>
              <w:spacing w:after="40"/>
              <w:jc w:val="right"/>
            </w:pPr>
            <w:r>
              <w:rPr>
                <w:sz w:val="19"/>
              </w:rPr>
              <w:t>0,890</w:t>
            </w:r>
          </w:p>
        </w:tc>
        <w:tc>
          <w:tcPr>
            <w:tcW w:type="dxa" w:w="1984"/>
          </w:tcPr>
          <w:p>
            <w:pPr>
              <w:spacing w:after="40"/>
              <w:jc w:val="right"/>
            </w:pPr>
            <w:r>
              <w:rPr>
                <w:sz w:val="19"/>
              </w:rPr>
              <w:t>0,880</w:t>
            </w:r>
          </w:p>
        </w:tc>
        <w:tc>
          <w:tcPr>
            <w:tcW w:type="dxa" w:w="2268"/>
          </w:tcPr>
          <w:p>
            <w:pPr>
              <w:spacing w:after="40"/>
              <w:jc w:val="right"/>
            </w:pPr>
            <w:r>
              <w:rPr>
                <w:sz w:val="19"/>
              </w:rPr>
              <w:t>−0,011</w:t>
            </w:r>
          </w:p>
        </w:tc>
      </w:tr>
    </w:tbl>
    <w:p>
      <w:pPr>
        <w:spacing w:after="40"/>
      </w:pPr>
    </w:p>
    <w:p>
      <w:r>
        <w:rPr>
          <w:sz w:val="22"/>
        </w:rPr>
        <w:t xml:space="preserve">Dans le score complet, </w:t>
      </w:r>
      <w:r>
        <w:rPr>
          <w:b/>
          <w:sz w:val="22"/>
        </w:rPr>
        <w:t>la co-occurrence dégrade légèrement le classement</w:t>
      </w:r>
      <w:r>
        <w:rPr>
          <w:sz w:val="22"/>
        </w:rPr>
        <w:t>.</w:t>
      </w:r>
    </w:p>
    <w:p>
      <w:pPr>
        <w:spacing w:before="160" w:after="80"/>
      </w:pPr>
      <w:r>
        <w:rPr>
          <w:color w:val="565B6E"/>
          <w:sz w:val="18"/>
        </w:rPr>
        <w:t>Tableau 4.08 : Protocole B (anti-fuite (67 ablations, 33 offres jamais vues))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984"/>
            <w:shd w:val="clear" w:color="auto" w:fill="E2E5EE"/>
          </w:tcPr>
          <w:p>
            <w:pPr>
              <w:spacing w:after="40"/>
            </w:pPr>
            <w:r/>
            <w:r>
              <w:rPr>
                <w:b/>
                <w:sz w:val="19"/>
              </w:rPr>
              <w:t>Métrique</w:t>
            </w:r>
          </w:p>
        </w:tc>
        <w:tc>
          <w:tcPr>
            <w:tcW w:type="dxa" w:w="2268"/>
            <w:shd w:val="clear" w:color="auto" w:fill="E2E5EE"/>
          </w:tcPr>
          <w:p>
            <w:pPr>
              <w:spacing w:after="40"/>
            </w:pPr>
            <w:r/>
            <w:r>
              <w:rPr>
                <w:b/>
                <w:sz w:val="19"/>
              </w:rPr>
              <w:t>Correspondance exacte</w:t>
            </w:r>
          </w:p>
        </w:tc>
        <w:tc>
          <w:tcPr>
            <w:tcW w:type="dxa" w:w="1984"/>
            <w:shd w:val="clear" w:color="auto" w:fill="E2E5EE"/>
          </w:tcPr>
          <w:p>
            <w:pPr>
              <w:spacing w:after="40"/>
            </w:pPr>
            <w:r/>
            <w:r>
              <w:rPr>
                <w:b/>
                <w:sz w:val="19"/>
              </w:rPr>
              <w:t>Co-occurrence</w:t>
            </w:r>
          </w:p>
        </w:tc>
        <w:tc>
          <w:tcPr>
            <w:tcW w:type="dxa" w:w="2268"/>
            <w:shd w:val="clear" w:color="auto" w:fill="E2E5EE"/>
          </w:tcPr>
          <w:p>
            <w:pPr>
              <w:spacing w:after="40"/>
            </w:pPr>
            <w:r/>
            <w:r>
              <w:rPr>
                <w:b/>
                <w:sz w:val="19"/>
              </w:rPr>
              <w:t>Écart</w:t>
            </w:r>
          </w:p>
        </w:tc>
      </w:tr>
      <w:tr>
        <w:tc>
          <w:tcPr>
            <w:tcW w:type="dxa" w:w="1984"/>
          </w:tcPr>
          <w:p>
            <w:pPr>
              <w:spacing w:after="40"/>
            </w:pPr>
            <w:r>
              <w:rPr>
                <w:sz w:val="19"/>
              </w:rPr>
              <w:t>Précision@1</w:t>
            </w:r>
          </w:p>
        </w:tc>
        <w:tc>
          <w:tcPr>
            <w:tcW w:type="dxa" w:w="2268"/>
          </w:tcPr>
          <w:p>
            <w:pPr>
              <w:spacing w:after="40"/>
              <w:jc w:val="right"/>
            </w:pPr>
            <w:r>
              <w:rPr>
                <w:sz w:val="19"/>
              </w:rPr>
              <w:t>88,1 %</w:t>
            </w:r>
          </w:p>
        </w:tc>
        <w:tc>
          <w:tcPr>
            <w:tcW w:type="dxa" w:w="1984"/>
          </w:tcPr>
          <w:p>
            <w:pPr>
              <w:spacing w:after="40"/>
              <w:jc w:val="right"/>
            </w:pPr>
            <w:r>
              <w:rPr>
                <w:sz w:val="19"/>
              </w:rPr>
              <w:t>91,0 %</w:t>
            </w:r>
          </w:p>
        </w:tc>
        <w:tc>
          <w:tcPr>
            <w:tcW w:type="dxa" w:w="2268"/>
          </w:tcPr>
          <w:p>
            <w:pPr>
              <w:spacing w:after="40"/>
              <w:jc w:val="right"/>
            </w:pPr>
            <w:r>
              <w:rPr>
                <w:sz w:val="19"/>
              </w:rPr>
              <w:t>+3,0 pt</w:t>
            </w:r>
          </w:p>
        </w:tc>
      </w:tr>
      <w:tr>
        <w:tc>
          <w:tcPr>
            <w:tcW w:type="dxa" w:w="1984"/>
          </w:tcPr>
          <w:p>
            <w:pPr>
              <w:spacing w:after="40"/>
            </w:pPr>
            <w:r>
              <w:rPr>
                <w:sz w:val="19"/>
              </w:rPr>
              <w:t>NDCG@5</w:t>
            </w:r>
          </w:p>
        </w:tc>
        <w:tc>
          <w:tcPr>
            <w:tcW w:type="dxa" w:w="2268"/>
          </w:tcPr>
          <w:p>
            <w:pPr>
              <w:spacing w:after="40"/>
              <w:jc w:val="right"/>
            </w:pPr>
            <w:r>
              <w:rPr>
                <w:sz w:val="19"/>
              </w:rPr>
              <w:t>90,5 %</w:t>
            </w:r>
          </w:p>
        </w:tc>
        <w:tc>
          <w:tcPr>
            <w:tcW w:type="dxa" w:w="1984"/>
          </w:tcPr>
          <w:p>
            <w:pPr>
              <w:spacing w:after="40"/>
              <w:jc w:val="right"/>
            </w:pPr>
            <w:r>
              <w:rPr>
                <w:sz w:val="19"/>
              </w:rPr>
              <w:t>90,6 %</w:t>
            </w:r>
          </w:p>
        </w:tc>
        <w:tc>
          <w:tcPr>
            <w:tcW w:type="dxa" w:w="2268"/>
          </w:tcPr>
          <w:p>
            <w:pPr>
              <w:spacing w:after="40"/>
              <w:jc w:val="right"/>
            </w:pPr>
            <w:r>
              <w:rPr>
                <w:sz w:val="19"/>
              </w:rPr>
              <w:t>=</w:t>
            </w:r>
          </w:p>
        </w:tc>
      </w:tr>
      <w:tr>
        <w:tc>
          <w:tcPr>
            <w:tcW w:type="dxa" w:w="1984"/>
          </w:tcPr>
          <w:p>
            <w:pPr>
              <w:spacing w:after="40"/>
            </w:pPr>
            <w:r>
              <w:rPr>
                <w:sz w:val="19"/>
              </w:rPr>
              <w:t>MRR</w:t>
            </w:r>
          </w:p>
        </w:tc>
        <w:tc>
          <w:tcPr>
            <w:tcW w:type="dxa" w:w="2268"/>
          </w:tcPr>
          <w:p>
            <w:pPr>
              <w:spacing w:after="40"/>
              <w:jc w:val="right"/>
            </w:pPr>
            <w:r>
              <w:rPr>
                <w:sz w:val="19"/>
              </w:rPr>
              <w:t>0,930</w:t>
            </w:r>
          </w:p>
        </w:tc>
        <w:tc>
          <w:tcPr>
            <w:tcW w:type="dxa" w:w="1984"/>
          </w:tcPr>
          <w:p>
            <w:pPr>
              <w:spacing w:after="40"/>
              <w:jc w:val="right"/>
            </w:pPr>
            <w:r>
              <w:rPr>
                <w:sz w:val="19"/>
              </w:rPr>
              <w:t>0,937</w:t>
            </w:r>
          </w:p>
        </w:tc>
        <w:tc>
          <w:tcPr>
            <w:tcW w:type="dxa" w:w="2268"/>
          </w:tcPr>
          <w:p>
            <w:pPr>
              <w:spacing w:after="40"/>
              <w:jc w:val="right"/>
            </w:pPr>
            <w:r>
              <w:rPr>
                <w:sz w:val="19"/>
              </w:rPr>
              <w:t>+0,007</w:t>
            </w:r>
          </w:p>
        </w:tc>
      </w:tr>
    </w:tbl>
    <w:p>
      <w:pPr>
        <w:spacing w:after="40"/>
      </w:pPr>
    </w:p>
    <w:p>
      <w:r>
        <w:rPr>
          <w:sz w:val="22"/>
        </w:rPr>
        <w:t xml:space="preserve">L'effet est </w:t>
      </w:r>
      <w:r>
        <w:rPr>
          <w:b/>
          <w:sz w:val="22"/>
        </w:rPr>
        <w:t>nul à très légèrement positif</w:t>
      </w:r>
      <w:r>
        <w:rPr>
          <w:sz w:val="22"/>
        </w:rPr>
        <w:t>. Le résultat du protocole A n'est donc pas un artefact de mémorisation, mais il n'y a pas davantage de gain à revendiquer.</w:t>
      </w:r>
    </w:p>
    <w:p>
      <w:pPr>
        <w:spacing w:before="160" w:after="80"/>
      </w:pPr>
      <w:r>
        <w:rPr>
          <w:color w:val="565B6E"/>
          <w:sz w:val="18"/>
        </w:rPr>
        <w:t>Tableau 4.09 : Protocole D (mécanisme isolé (81 ablations))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984"/>
            <w:shd w:val="clear" w:color="auto" w:fill="E2E5EE"/>
          </w:tcPr>
          <w:p>
            <w:pPr>
              <w:spacing w:after="40"/>
            </w:pPr>
            <w:r/>
            <w:r>
              <w:rPr>
                <w:b/>
                <w:sz w:val="19"/>
              </w:rPr>
              <w:t>Métrique</w:t>
            </w:r>
          </w:p>
        </w:tc>
        <w:tc>
          <w:tcPr>
            <w:tcW w:type="dxa" w:w="2268"/>
            <w:shd w:val="clear" w:color="auto" w:fill="E2E5EE"/>
          </w:tcPr>
          <w:p>
            <w:pPr>
              <w:spacing w:after="40"/>
            </w:pPr>
            <w:r/>
            <w:r>
              <w:rPr>
                <w:b/>
                <w:sz w:val="19"/>
              </w:rPr>
              <w:t>Correspondance exacte</w:t>
            </w:r>
          </w:p>
        </w:tc>
        <w:tc>
          <w:tcPr>
            <w:tcW w:type="dxa" w:w="1984"/>
            <w:shd w:val="clear" w:color="auto" w:fill="E2E5EE"/>
          </w:tcPr>
          <w:p>
            <w:pPr>
              <w:spacing w:after="40"/>
            </w:pPr>
            <w:r/>
            <w:r>
              <w:rPr>
                <w:b/>
                <w:sz w:val="19"/>
              </w:rPr>
              <w:t>Co-occurrence</w:t>
            </w:r>
          </w:p>
        </w:tc>
        <w:tc>
          <w:tcPr>
            <w:tcW w:type="dxa" w:w="2268"/>
            <w:shd w:val="clear" w:color="auto" w:fill="E2E5EE"/>
          </w:tcPr>
          <w:p>
            <w:pPr>
              <w:spacing w:after="40"/>
            </w:pPr>
            <w:r/>
            <w:r>
              <w:rPr>
                <w:b/>
                <w:sz w:val="19"/>
              </w:rPr>
              <w:t>Écart</w:t>
            </w:r>
          </w:p>
        </w:tc>
      </w:tr>
      <w:tr>
        <w:tc>
          <w:tcPr>
            <w:tcW w:type="dxa" w:w="1984"/>
          </w:tcPr>
          <w:p>
            <w:pPr>
              <w:spacing w:after="40"/>
            </w:pPr>
            <w:r>
              <w:rPr>
                <w:b/>
                <w:sz w:val="19"/>
              </w:rPr>
              <w:t>Précision@1</w:t>
            </w:r>
          </w:p>
        </w:tc>
        <w:tc>
          <w:tcPr>
            <w:tcW w:type="dxa" w:w="2268"/>
          </w:tcPr>
          <w:p>
            <w:pPr>
              <w:spacing w:after="40"/>
              <w:jc w:val="right"/>
            </w:pPr>
            <w:r>
              <w:rPr>
                <w:sz w:val="19"/>
              </w:rPr>
              <w:t>9,9 %</w:t>
            </w:r>
          </w:p>
        </w:tc>
        <w:tc>
          <w:tcPr>
            <w:tcW w:type="dxa" w:w="1984"/>
          </w:tcPr>
          <w:p>
            <w:pPr>
              <w:spacing w:after="40"/>
              <w:jc w:val="right"/>
            </w:pPr>
            <w:r>
              <w:rPr>
                <w:b/>
                <w:sz w:val="19"/>
              </w:rPr>
              <w:t>22,2 %</w:t>
            </w:r>
          </w:p>
        </w:tc>
        <w:tc>
          <w:tcPr>
            <w:tcW w:type="dxa" w:w="2268"/>
          </w:tcPr>
          <w:p>
            <w:pPr>
              <w:spacing w:after="40"/>
              <w:jc w:val="right"/>
            </w:pPr>
            <w:r>
              <w:rPr>
                <w:b/>
                <w:sz w:val="19"/>
              </w:rPr>
              <w:t>+12,3 pt</w:t>
            </w:r>
          </w:p>
        </w:tc>
      </w:tr>
      <w:tr>
        <w:tc>
          <w:tcPr>
            <w:tcW w:type="dxa" w:w="1984"/>
          </w:tcPr>
          <w:p>
            <w:pPr>
              <w:spacing w:after="40"/>
            </w:pPr>
            <w:r>
              <w:rPr>
                <w:sz w:val="19"/>
              </w:rPr>
              <w:t>NDCG@5</w:t>
            </w:r>
          </w:p>
        </w:tc>
        <w:tc>
          <w:tcPr>
            <w:tcW w:type="dxa" w:w="2268"/>
          </w:tcPr>
          <w:p>
            <w:pPr>
              <w:spacing w:after="40"/>
              <w:jc w:val="right"/>
            </w:pPr>
            <w:r>
              <w:rPr>
                <w:sz w:val="19"/>
              </w:rPr>
              <w:t>42,8 %</w:t>
            </w:r>
          </w:p>
        </w:tc>
        <w:tc>
          <w:tcPr>
            <w:tcW w:type="dxa" w:w="1984"/>
          </w:tcPr>
          <w:p>
            <w:pPr>
              <w:spacing w:after="40"/>
              <w:jc w:val="right"/>
            </w:pPr>
            <w:r>
              <w:rPr>
                <w:sz w:val="19"/>
              </w:rPr>
              <w:t>45,1 %</w:t>
            </w:r>
          </w:p>
        </w:tc>
        <w:tc>
          <w:tcPr>
            <w:tcW w:type="dxa" w:w="2268"/>
          </w:tcPr>
          <w:p>
            <w:pPr>
              <w:spacing w:after="40"/>
              <w:jc w:val="right"/>
            </w:pPr>
            <w:r>
              <w:rPr>
                <w:sz w:val="19"/>
              </w:rPr>
              <w:t>+2,3 pt</w:t>
            </w:r>
          </w:p>
        </w:tc>
      </w:tr>
      <w:tr>
        <w:tc>
          <w:tcPr>
            <w:tcW w:type="dxa" w:w="1984"/>
          </w:tcPr>
          <w:p>
            <w:pPr>
              <w:spacing w:after="40"/>
            </w:pPr>
            <w:r>
              <w:rPr>
                <w:sz w:val="19"/>
              </w:rPr>
              <w:t>NDCG@10</w:t>
            </w:r>
          </w:p>
        </w:tc>
        <w:tc>
          <w:tcPr>
            <w:tcW w:type="dxa" w:w="2268"/>
          </w:tcPr>
          <w:p>
            <w:pPr>
              <w:spacing w:after="40"/>
              <w:jc w:val="right"/>
            </w:pPr>
            <w:r>
              <w:rPr>
                <w:sz w:val="19"/>
              </w:rPr>
              <w:t>50,2 %</w:t>
            </w:r>
          </w:p>
        </w:tc>
        <w:tc>
          <w:tcPr>
            <w:tcW w:type="dxa" w:w="1984"/>
          </w:tcPr>
          <w:p>
            <w:pPr>
              <w:spacing w:after="40"/>
              <w:jc w:val="right"/>
            </w:pPr>
            <w:r>
              <w:rPr>
                <w:sz w:val="19"/>
              </w:rPr>
              <w:t>51,7 %</w:t>
            </w:r>
          </w:p>
        </w:tc>
        <w:tc>
          <w:tcPr>
            <w:tcW w:type="dxa" w:w="2268"/>
          </w:tcPr>
          <w:p>
            <w:pPr>
              <w:spacing w:after="40"/>
              <w:jc w:val="right"/>
            </w:pPr>
            <w:r>
              <w:rPr>
                <w:sz w:val="19"/>
              </w:rPr>
              <w:t>+1,5 pt</w:t>
            </w:r>
          </w:p>
        </w:tc>
      </w:tr>
      <w:tr>
        <w:tc>
          <w:tcPr>
            <w:tcW w:type="dxa" w:w="1984"/>
          </w:tcPr>
          <w:p>
            <w:pPr>
              <w:spacing w:after="40"/>
            </w:pPr>
            <w:r>
              <w:rPr>
                <w:b/>
                <w:sz w:val="19"/>
              </w:rPr>
              <w:t>MRR</w:t>
            </w:r>
          </w:p>
        </w:tc>
        <w:tc>
          <w:tcPr>
            <w:tcW w:type="dxa" w:w="2268"/>
          </w:tcPr>
          <w:p>
            <w:pPr>
              <w:spacing w:after="40"/>
              <w:jc w:val="right"/>
            </w:pPr>
            <w:r>
              <w:rPr>
                <w:sz w:val="19"/>
              </w:rPr>
              <w:t>0,395</w:t>
            </w:r>
          </w:p>
        </w:tc>
        <w:tc>
          <w:tcPr>
            <w:tcW w:type="dxa" w:w="1984"/>
          </w:tcPr>
          <w:p>
            <w:pPr>
              <w:spacing w:after="40"/>
              <w:jc w:val="right"/>
            </w:pPr>
            <w:r>
              <w:rPr>
                <w:b/>
                <w:sz w:val="19"/>
              </w:rPr>
              <w:t>0,442</w:t>
            </w:r>
          </w:p>
        </w:tc>
        <w:tc>
          <w:tcPr>
            <w:tcW w:type="dxa" w:w="2268"/>
          </w:tcPr>
          <w:p>
            <w:pPr>
              <w:spacing w:after="40"/>
              <w:jc w:val="right"/>
            </w:pPr>
            <w:r>
              <w:rPr>
                <w:b/>
                <w:sz w:val="19"/>
              </w:rPr>
              <w:t>+12 % relatifs</w:t>
            </w:r>
          </w:p>
        </w:tc>
      </w:tr>
      <w:tr>
        <w:tc>
          <w:tcPr>
            <w:tcW w:type="dxa" w:w="1984"/>
          </w:tcPr>
          <w:p>
            <w:pPr>
              <w:spacing w:after="40"/>
            </w:pPr>
            <w:r>
              <w:rPr>
                <w:sz w:val="19"/>
              </w:rPr>
              <w:t>Rappel@3</w:t>
            </w:r>
          </w:p>
        </w:tc>
        <w:tc>
          <w:tcPr>
            <w:tcW w:type="dxa" w:w="2268"/>
          </w:tcPr>
          <w:p>
            <w:pPr>
              <w:spacing w:after="40"/>
              <w:jc w:val="right"/>
            </w:pPr>
            <w:r>
              <w:rPr>
                <w:sz w:val="19"/>
              </w:rPr>
              <w:t>51,6 %</w:t>
            </w:r>
          </w:p>
        </w:tc>
        <w:tc>
          <w:tcPr>
            <w:tcW w:type="dxa" w:w="1984"/>
          </w:tcPr>
          <w:p>
            <w:pPr>
              <w:spacing w:after="40"/>
              <w:jc w:val="right"/>
            </w:pPr>
            <w:r>
              <w:rPr>
                <w:sz w:val="19"/>
              </w:rPr>
              <w:t>47,6 %</w:t>
            </w:r>
          </w:p>
        </w:tc>
        <w:tc>
          <w:tcPr>
            <w:tcW w:type="dxa" w:w="2268"/>
          </w:tcPr>
          <w:p>
            <w:pPr>
              <w:spacing w:after="40"/>
              <w:jc w:val="right"/>
            </w:pPr>
            <w:r>
              <w:rPr>
                <w:sz w:val="19"/>
              </w:rPr>
              <w:t>−4,0 pt</w:t>
            </w:r>
          </w:p>
        </w:tc>
      </w:tr>
    </w:tbl>
    <w:p>
      <w:pPr>
        <w:spacing w:after="40"/>
      </w:pPr>
    </w:p>
    <w:p>
      <w:r>
        <w:rPr>
          <w:b/>
          <w:sz w:val="22"/>
        </w:rPr>
        <w:t>Le mécanisme fonctionne.</w:t>
      </w:r>
      <w:r>
        <w:rPr>
          <w:sz w:val="22"/>
        </w:rPr>
        <w:t xml:space="preserve"> Lorsque la compétence exigée disparaît du profil, la co-occurrence remonte l'offre en tête </w:t>
      </w:r>
      <w:r>
        <w:rPr>
          <w:b/>
          <w:sz w:val="22"/>
        </w:rPr>
        <w:t>plus de deux fois plus souvent</w:t>
      </w:r>
      <w:r>
        <w:rPr>
          <w:sz w:val="22"/>
        </w:rPr>
        <w:t xml:space="preserve"> que la correspondance exacte. Le recul du rappel@3 en indique la contrepartie : elle place mieux ce qu'elle trouve, au prix d'un peu d'étendue.</w:t>
      </w:r>
    </w:p>
    <w:p>
      <w:pPr>
        <w:pStyle w:val="Heading3"/>
      </w:pPr>
      <w:r>
        <w:t>4.3.4  Synthèse et anomalies corrigées</w:t>
      </w:r>
    </w:p>
    <w:p>
      <w:r>
        <w:rPr>
          <w:b/>
          <w:sz w:val="22"/>
        </w:rPr>
        <w:t>Ce que la mesure établit</w:t>
      </w:r>
      <w:r>
        <w:rPr>
          <w:sz w:val="22"/>
        </w:rPr>
        <w:t>, en quatre énoncés :</w:t>
      </w:r>
    </w:p>
    <w:p>
      <w:pPr>
        <w:pStyle w:val="ListBullet"/>
        <w:spacing w:after="60"/>
      </w:pPr>
      <w:r>
        <w:rPr>
          <w:b/>
          <w:sz w:val="22"/>
        </w:rPr>
        <w:t>Le mécanisme fait ce pour quoi il a été conçu.</w:t>
      </w:r>
      <w:r>
        <w:rPr>
          <w:sz w:val="22"/>
        </w:rPr>
        <w:t xml:space="preserve"> Isolé, il double la précision au premier rang et améliore le rang réciproque moyen de 12 % relatifs sur la population qu'il vise.</w:t>
      </w:r>
    </w:p>
    <w:p>
      <w:pPr>
        <w:pStyle w:val="ListBullet"/>
        <w:spacing w:after="60"/>
      </w:pPr>
      <w:r>
        <w:rPr>
          <w:b/>
          <w:sz w:val="22"/>
        </w:rPr>
        <w:t>Ce gain ne survit pas à l'intégration.</w:t>
      </w:r>
      <w:r>
        <w:rPr>
          <w:sz w:val="22"/>
        </w:rPr>
        <w:t xml:space="preserve"> Dans le score complet, au poids en vigueur, l'effet est nul à légèrement négatif : les quatre autres composantes suffisent déjà à classer et absorbent l'apport.</w:t>
      </w:r>
    </w:p>
    <w:p>
      <w:pPr>
        <w:pStyle w:val="ListBullet"/>
        <w:spacing w:after="60"/>
      </w:pPr>
      <w:r>
        <w:rPr>
          <w:b/>
          <w:sz w:val="22"/>
        </w:rPr>
        <w:t>Il n'est pas un artefact de mémorisation</w:t>
      </w:r>
      <w:r>
        <w:rPr>
          <w:sz w:val="22"/>
        </w:rPr>
        <w:t xml:space="preserve"> : le protocole anti-fuite ne l'annule pas.</w:t>
      </w:r>
    </w:p>
    <w:p>
      <w:pPr>
        <w:pStyle w:val="ListBullet"/>
        <w:spacing w:after="60"/>
      </w:pPr>
      <w:r>
        <w:rPr>
          <w:b/>
          <w:sz w:val="22"/>
        </w:rPr>
        <w:t>Le corpus est trop petit pour trancher plus finement.</w:t>
      </w:r>
      <w:r>
        <w:rPr>
          <w:sz w:val="22"/>
        </w:rPr>
        <w:t xml:space="preserve"> Une analyse de sensibilité au poids des compétences produit une courbe non monotone, dont les points intermédiaires alternent de signe : c'est du bruit, pas une tendance.</w:t>
      </w:r>
    </w:p>
    <w:p>
      <w:pPr>
        <w:spacing w:before="240" w:after="40"/>
        <w:shd w:val="clear" w:color="auto" w:fill="F0E6CF"/>
        <w:pBdr>
          <w:left w:val="single" w:sz="24" w:space="8" w:color="8A6516"/>
        </w:pBdr>
      </w:pPr>
      <w:r>
        <w:rPr>
          <w:b/>
          <w:sz w:val="22"/>
        </w:rPr>
        <w:t>Ce que l'honnêteté méthodologique interdit</w:t>
      </w:r>
    </w:p>
    <w:p>
      <w:pPr>
        <w:spacing w:after="200"/>
        <w:shd w:val="clear" w:color="auto" w:fill="F0E6CF"/>
        <w:pBdr>
          <w:left w:val="single" w:sz="24" w:space="8" w:color="8A6516"/>
        </w:pBdr>
      </w:pPr>
      <w:r>
        <w:rPr>
          <w:sz w:val="21"/>
        </w:rPr>
        <w:t xml:space="preserve">Il aurait été possible de régler les poids du score sur ces mesures jusqu'à obtenir un chiffre favorable. </w:t>
      </w:r>
      <w:r>
        <w:rPr>
          <w:b/>
          <w:sz w:val="21"/>
        </w:rPr>
        <w:t>Cela n'a pas été fait, et ne devait pas l'être</w:t>
      </w:r>
      <w:r>
        <w:rPr>
          <w:sz w:val="21"/>
        </w:rPr>
        <w:t xml:space="preserve"> : ajuster les paramètres sur le jeu d'essai produit un résultat qui ne vaut rien. Les poids en vigueur n'ont pas été modifiés après la mesure.</w:t>
      </w:r>
    </w:p>
    <w:p>
      <w:r>
        <w:rPr>
          <w:sz w:val="22"/>
        </w:rPr>
        <w:t>La formulation que le projet espérait pouvoir tenir (</w:t>
      </w:r>
      <w:r>
        <w:rPr>
          <w:i/>
          <w:sz w:val="22"/>
        </w:rPr>
        <w:t>« nous avons remplacé une correspondance exacte par une structure de similarité apprise du corpus, et nous avons mesuré le gain »</w:t>
      </w:r>
      <w:r>
        <w:rPr>
          <w:sz w:val="22"/>
        </w:rPr>
        <w:t xml:space="preserve">) </w:t>
      </w:r>
      <w:r>
        <w:rPr>
          <w:b/>
          <w:sz w:val="22"/>
        </w:rPr>
        <w:t>n'est pas soutenable en l'état</w:t>
      </w:r>
      <w:r>
        <w:rPr>
          <w:sz w:val="22"/>
        </w:rPr>
        <w:t>. Ce que le travail établit est différent, et plus intéressant : une contribution algorithmique réelle et mesurée, dont l'intégration dans un score composite annule l'effet. La question qu'elle ouvre, comment intégrer un signal appris à côté de critères administratifs, vaut mieux que le gain espéré.</w:t>
      </w:r>
    </w:p>
    <w:p>
      <w:pPr>
        <w:pStyle w:val="Heading3"/>
      </w:pPr>
      <w:r>
        <w:t>Les anomalies que la mesure a révélées</w:t>
      </w:r>
    </w:p>
    <w:p>
      <w:r>
        <w:rPr>
          <w:sz w:val="22"/>
        </w:rPr>
        <w:t xml:space="preserve">Sept anomalies ont été trouvées au cours de l'évaluation. </w:t>
      </w:r>
      <w:r>
        <w:rPr>
          <w:b/>
          <w:sz w:val="22"/>
        </w:rPr>
        <w:t>Aucune ne l'a été en relisant le code</w:t>
      </w:r>
      <w:r>
        <w:rPr>
          <w:sz w:val="22"/>
        </w:rPr>
        <w:t xml:space="preserve"> : toutes l'ont été en mesurant.</w:t>
      </w:r>
    </w:p>
    <w:p>
      <w:pPr>
        <w:spacing w:before="160" w:after="80"/>
      </w:pPr>
      <w:r>
        <w:rPr>
          <w:color w:val="565B6E"/>
          <w:sz w:val="18"/>
        </w:rPr>
        <w:t>Tableau 4.10 : Anomalies découvertes par la mesure</w:t>
      </w:r>
    </w:p>
    <w:tbl>
      <w:tblPr>
        <w:tblStyle w:val="TableGrid"/>
        <w:tblW w:type="auto" w:w="0"/>
        <w:jc w:val="left"/>
        <w:tblLook w:firstColumn="1" w:firstRow="1" w:lastColumn="0" w:lastRow="0" w:noHBand="0" w:noVBand="1" w:val="04A0"/>
      </w:tblPr>
      <w:tblGrid>
        <w:gridCol w:w="2946"/>
        <w:gridCol w:w="2946"/>
        <w:gridCol w:w="2946"/>
      </w:tblGrid>
      <w:tr>
        <w:tc>
          <w:tcPr>
            <w:tcW w:type="dxa" w:w="3402"/>
            <w:shd w:val="clear" w:color="auto" w:fill="E2E5EE"/>
          </w:tcPr>
          <w:p>
            <w:pPr>
              <w:spacing w:after="40"/>
            </w:pPr>
            <w:r/>
            <w:r>
              <w:rPr>
                <w:b/>
                <w:sz w:val="19"/>
              </w:rPr>
              <w:t>Anomalie</w:t>
            </w:r>
          </w:p>
        </w:tc>
        <w:tc>
          <w:tcPr>
            <w:tcW w:type="dxa" w:w="2551"/>
            <w:shd w:val="clear" w:color="auto" w:fill="E2E5EE"/>
          </w:tcPr>
          <w:p>
            <w:pPr>
              <w:spacing w:after="40"/>
            </w:pPr>
            <w:r/>
            <w:r>
              <w:rPr>
                <w:b/>
                <w:sz w:val="19"/>
              </w:rPr>
              <w:t>Comment elle est apparue</w:t>
            </w:r>
          </w:p>
        </w:tc>
        <w:tc>
          <w:tcPr>
            <w:tcW w:type="dxa" w:w="2551"/>
            <w:shd w:val="clear" w:color="auto" w:fill="E2E5EE"/>
          </w:tcPr>
          <w:p>
            <w:pPr>
              <w:spacing w:after="40"/>
            </w:pPr>
            <w:r/>
            <w:r>
              <w:rPr>
                <w:b/>
                <w:sz w:val="19"/>
              </w:rPr>
              <w:t>Effet de la correction</w:t>
            </w:r>
          </w:p>
        </w:tc>
      </w:tr>
      <w:tr>
        <w:tc>
          <w:tcPr>
            <w:tcW w:type="dxa" w:w="3402"/>
          </w:tcPr>
          <w:p>
            <w:pPr>
              <w:spacing w:after="40"/>
            </w:pPr>
            <w:r>
              <w:rPr>
                <w:sz w:val="19"/>
              </w:rPr>
              <w:t>Une mesure de similarité textuelle détruisait la précision de l'extraction. Son bonus de préfixe, conçu pour des patronymes, rapprochait « anglais » d'</w:t>
            </w:r>
            <w:r>
              <w:rPr>
                <w:i/>
                <w:sz w:val="19"/>
              </w:rPr>
              <w:t>Angular</w:t>
            </w:r>
            <w:r>
              <w:rPr>
                <w:sz w:val="19"/>
              </w:rPr>
              <w:t>.</w:t>
            </w:r>
          </w:p>
        </w:tc>
        <w:tc>
          <w:tcPr>
            <w:tcW w:type="dxa" w:w="2551"/>
          </w:tcPr>
          <w:p>
            <w:pPr>
              <w:spacing w:after="40"/>
            </w:pPr>
            <w:r>
              <w:rPr>
                <w:sz w:val="19"/>
              </w:rPr>
              <w:t>mesure sur le corpus de vérité terrain</w:t>
            </w:r>
          </w:p>
        </w:tc>
        <w:tc>
          <w:tcPr>
            <w:tcW w:type="dxa" w:w="2551"/>
          </w:tcPr>
          <w:p>
            <w:pPr>
              <w:spacing w:after="40"/>
            </w:pPr>
            <w:r>
              <w:rPr>
                <w:sz w:val="19"/>
              </w:rPr>
              <w:t xml:space="preserve">précision </w:t>
            </w:r>
            <w:r>
              <w:rPr>
                <w:b/>
                <w:sz w:val="19"/>
              </w:rPr>
              <w:t>60 → 89 %</w:t>
            </w:r>
          </w:p>
        </w:tc>
      </w:tr>
      <w:tr>
        <w:tc>
          <w:tcPr>
            <w:tcW w:type="dxa" w:w="3402"/>
          </w:tcPr>
          <w:p>
            <w:pPr>
              <w:spacing w:after="40"/>
            </w:pPr>
            <w:r>
              <w:rPr>
                <w:sz w:val="19"/>
              </w:rPr>
              <w:t>La détection de titres de section absorbait des compétences : « Contrôle qualité - niveau intermédiaire » était pris pour un titre.</w:t>
            </w:r>
          </w:p>
        </w:tc>
        <w:tc>
          <w:tcPr>
            <w:tcW w:type="dxa" w:w="2551"/>
          </w:tcPr>
          <w:p>
            <w:pPr>
              <w:spacing w:after="40"/>
            </w:pPr>
            <w:r>
              <w:rPr>
                <w:sz w:val="19"/>
              </w:rPr>
              <w:t>analyse des faux négatifs</w:t>
            </w:r>
          </w:p>
        </w:tc>
        <w:tc>
          <w:tcPr>
            <w:tcW w:type="dxa" w:w="2551"/>
          </w:tcPr>
          <w:p>
            <w:pPr>
              <w:spacing w:after="40"/>
            </w:pPr>
            <w:r>
              <w:rPr>
                <w:sz w:val="19"/>
              </w:rPr>
              <w:t xml:space="preserve">rappel </w:t>
            </w:r>
            <w:r>
              <w:rPr>
                <w:b/>
                <w:sz w:val="19"/>
              </w:rPr>
              <w:t>87,5 → 94,9 %</w:t>
            </w:r>
          </w:p>
        </w:tc>
      </w:tr>
      <w:tr>
        <w:tc>
          <w:tcPr>
            <w:tcW w:type="dxa" w:w="3402"/>
          </w:tcPr>
          <w:p>
            <w:pPr>
              <w:spacing w:after="40"/>
            </w:pPr>
            <w:r>
              <w:rPr>
                <w:b/>
                <w:sz w:val="19"/>
              </w:rPr>
              <w:t>La vérité terrain elle-même était fausse</w:t>
            </w:r>
            <w:r>
              <w:rPr>
                <w:sz w:val="19"/>
              </w:rPr>
              <w:t xml:space="preserve"> : les langues figurant sur les CV n'y étaient pas consignées. L'extraction avait raison et était comptée en erreur.</w:t>
            </w:r>
          </w:p>
        </w:tc>
        <w:tc>
          <w:tcPr>
            <w:tcW w:type="dxa" w:w="2551"/>
          </w:tcPr>
          <w:p>
            <w:pPr>
              <w:spacing w:after="40"/>
            </w:pPr>
            <w:r>
              <w:rPr>
                <w:sz w:val="19"/>
              </w:rPr>
              <w:t>instruction des faux positifs restants</w:t>
            </w:r>
          </w:p>
        </w:tc>
        <w:tc>
          <w:tcPr>
            <w:tcW w:type="dxa" w:w="2551"/>
          </w:tcPr>
          <w:p>
            <w:pPr>
              <w:spacing w:after="40"/>
            </w:pPr>
            <w:r>
              <w:rPr>
                <w:sz w:val="19"/>
              </w:rPr>
              <w:t xml:space="preserve">précision </w:t>
            </w:r>
            <w:r>
              <w:rPr>
                <w:b/>
                <w:sz w:val="19"/>
              </w:rPr>
              <w:t>75 → 98 %</w:t>
            </w:r>
          </w:p>
        </w:tc>
      </w:tr>
      <w:tr>
        <w:tc>
          <w:tcPr>
            <w:tcW w:type="dxa" w:w="3402"/>
          </w:tcPr>
          <w:p>
            <w:pPr>
              <w:spacing w:after="40"/>
            </w:pPr>
            <w:r>
              <w:rPr>
                <w:sz w:val="19"/>
              </w:rPr>
              <w:t>Une fuite par temporisation : la demande de réinitialisation répondait la même chose selon que l'adresse existait ou non, mais pas dans le même temps.</w:t>
            </w:r>
          </w:p>
        </w:tc>
        <w:tc>
          <w:tcPr>
            <w:tcW w:type="dxa" w:w="2551"/>
          </w:tcPr>
          <w:p>
            <w:pPr>
              <w:spacing w:after="40"/>
            </w:pPr>
            <w:r>
              <w:rPr>
                <w:sz w:val="19"/>
              </w:rPr>
              <w:t>mesure des durées de réponse</w:t>
            </w:r>
          </w:p>
        </w:tc>
        <w:tc>
          <w:tcPr>
            <w:tcW w:type="dxa" w:w="2551"/>
          </w:tcPr>
          <w:p>
            <w:pPr>
              <w:spacing w:after="40"/>
            </w:pPr>
            <w:r>
              <w:rPr>
                <w:sz w:val="19"/>
              </w:rPr>
              <w:t xml:space="preserve">écart des médianes </w:t>
            </w:r>
            <w:r>
              <w:rPr>
                <w:b/>
                <w:sz w:val="19"/>
              </w:rPr>
              <w:t>82 → 3 ms</w:t>
            </w:r>
          </w:p>
        </w:tc>
      </w:tr>
      <w:tr>
        <w:tc>
          <w:tcPr>
            <w:tcW w:type="dxa" w:w="3402"/>
          </w:tcPr>
          <w:p>
            <w:pPr>
              <w:spacing w:after="40"/>
            </w:pPr>
            <w:r>
              <w:rPr>
                <w:sz w:val="19"/>
              </w:rPr>
              <w:t>Un décompte sans dédoublonnage annonçait 15 inscrits dans une promotion là où le filtre en renvoyait 3.</w:t>
            </w:r>
          </w:p>
        </w:tc>
        <w:tc>
          <w:tcPr>
            <w:tcW w:type="dxa" w:w="2551"/>
          </w:tcPr>
          <w:p>
            <w:pPr>
              <w:spacing w:after="40"/>
            </w:pPr>
            <w:r>
              <w:rPr>
                <w:sz w:val="19"/>
              </w:rPr>
              <w:t>recoupement de deux sources</w:t>
            </w:r>
          </w:p>
        </w:tc>
        <w:tc>
          <w:tcPr>
            <w:tcW w:type="dxa" w:w="2551"/>
          </w:tcPr>
          <w:p>
            <w:pPr>
              <w:spacing w:after="40"/>
            </w:pPr>
            <w:r>
              <w:rPr>
                <w:sz w:val="19"/>
              </w:rPr>
              <w:t>effectifs exacts</w:t>
            </w:r>
          </w:p>
        </w:tc>
      </w:tr>
      <w:tr>
        <w:tc>
          <w:tcPr>
            <w:tcW w:type="dxa" w:w="3402"/>
          </w:tcPr>
          <w:p>
            <w:pPr>
              <w:spacing w:after="40"/>
            </w:pPr>
            <w:r>
              <w:rPr>
                <w:sz w:val="19"/>
              </w:rPr>
              <w:t>Deux défauts invisibles hors conteneur : une dépendance absente du paquet serveur, un paramètre au type ambigu.</w:t>
            </w:r>
          </w:p>
        </w:tc>
        <w:tc>
          <w:tcPr>
            <w:tcW w:type="dxa" w:w="2551"/>
          </w:tcPr>
          <w:p>
            <w:pPr>
              <w:spacing w:after="40"/>
            </w:pPr>
            <w:r>
              <w:rPr>
                <w:sz w:val="19"/>
              </w:rPr>
              <w:t>essai de bout en bout</w:t>
            </w:r>
          </w:p>
        </w:tc>
        <w:tc>
          <w:tcPr>
            <w:tcW w:type="dxa" w:w="2551"/>
          </w:tcPr>
          <w:p>
            <w:pPr>
              <w:spacing w:after="40"/>
            </w:pPr>
            <w:r>
              <w:rPr>
                <w:sz w:val="19"/>
              </w:rPr>
              <w:t>ingestion fonctionnelle en production</w:t>
            </w:r>
          </w:p>
        </w:tc>
      </w:tr>
      <w:tr>
        <w:tc>
          <w:tcPr>
            <w:tcW w:type="dxa" w:w="3402"/>
          </w:tcPr>
          <w:p>
            <w:pPr>
              <w:spacing w:after="40"/>
            </w:pPr>
            <w:r>
              <w:rPr>
                <w:sz w:val="19"/>
              </w:rPr>
              <w:t>Un tableau de dépendances incomplet empêchait le rafraîchissement d'une liste.</w:t>
            </w:r>
          </w:p>
        </w:tc>
        <w:tc>
          <w:tcPr>
            <w:tcW w:type="dxa" w:w="2551"/>
          </w:tcPr>
          <w:p>
            <w:pPr>
              <w:spacing w:after="40"/>
            </w:pPr>
            <w:r>
              <w:rPr>
                <w:sz w:val="19"/>
              </w:rPr>
              <w:t>analyse statique lors de la revue finale</w:t>
            </w:r>
          </w:p>
        </w:tc>
        <w:tc>
          <w:tcPr>
            <w:tcW w:type="dxa" w:w="2551"/>
          </w:tcPr>
          <w:p>
            <w:pPr>
              <w:spacing w:after="40"/>
            </w:pPr>
            <w:r>
              <w:rPr>
                <w:sz w:val="19"/>
              </w:rPr>
              <w:t>corrigé</w:t>
            </w:r>
          </w:p>
        </w:tc>
      </w:tr>
    </w:tbl>
    <w:p>
      <w:pPr>
        <w:spacing w:after="40"/>
      </w:pPr>
    </w:p>
    <w:p>
      <w:pPr>
        <w:spacing w:before="240" w:after="40"/>
        <w:shd w:val="clear" w:color="auto" w:fill="F0E6CF"/>
        <w:pBdr>
          <w:left w:val="single" w:sz="24" w:space="8" w:color="8A6516"/>
        </w:pBdr>
      </w:pPr>
      <w:r>
        <w:rPr>
          <w:b/>
          <w:sz w:val="22"/>
        </w:rPr>
        <w:t>Le fil conducteur de ce chapitre</w:t>
      </w:r>
    </w:p>
    <w:p>
      <w:pPr>
        <w:spacing w:after="80"/>
        <w:shd w:val="clear" w:color="auto" w:fill="F0E6CF"/>
        <w:pBdr>
          <w:left w:val="single" w:sz="24" w:space="8" w:color="8A6516"/>
        </w:pBdr>
      </w:pPr>
      <w:r>
        <w:rPr>
          <w:b/>
          <w:sz w:val="21"/>
        </w:rPr>
        <w:t>Cinq de ces sept anomalies étaient silencieuses.</w:t>
      </w:r>
      <w:r>
        <w:rPr>
          <w:sz w:val="21"/>
        </w:rPr>
        <w:t xml:space="preserve"> Aucune ne levait d'exception, aucune n'apparaissait dans un journal : elles produisaient un résultat plausible mais faux. La troisième est la plus instructive : c'est la vérité terrain, et non le programme, qui était erronée.</w:t>
      </w:r>
    </w:p>
    <w:p>
      <w:pPr>
        <w:spacing w:after="200"/>
        <w:shd w:val="clear" w:color="auto" w:fill="F0E6CF"/>
        <w:pBdr>
          <w:left w:val="single" w:sz="24" w:space="8" w:color="8A6516"/>
        </w:pBdr>
      </w:pPr>
      <w:r>
        <w:rPr>
          <w:sz w:val="21"/>
        </w:rPr>
        <w:t xml:space="preserve">C'est l'argument central de ce chapitre : </w:t>
      </w:r>
      <w:r>
        <w:rPr>
          <w:b/>
          <w:sz w:val="21"/>
        </w:rPr>
        <w:t>un système qui ne se mesure pas ne se corrige pas</w:t>
      </w:r>
      <w:r>
        <w:rPr>
          <w:sz w:val="21"/>
        </w:rPr>
        <w:t>, parce qu'il ne donne aucun signe de ce qui ne va pas.</w:t>
      </w:r>
    </w:p>
    <w:p>
      <w:pPr>
        <w:pStyle w:val="Heading3"/>
      </w:pPr>
      <w:r>
        <w:t>4.3.5  Limites de l'évaluation menée</w:t>
      </w:r>
    </w:p>
    <w:p>
      <w:r>
        <w:rPr>
          <w:sz w:val="22"/>
        </w:rPr>
        <w:t>Les résultats ci-dessus doivent être lus avec les réserves suivantes, qui portent sur la mesure elle-même et non sur le logiciel.</w:t>
      </w:r>
    </w:p>
    <w:p>
      <w:pPr>
        <w:spacing w:before="160" w:after="80"/>
      </w:pPr>
      <w:r>
        <w:rPr>
          <w:color w:val="565B6E"/>
          <w:sz w:val="18"/>
        </w:rPr>
        <w:t>Tableau 4.11 : Limites de l'évaluation</w:t>
      </w:r>
    </w:p>
    <w:tbl>
      <w:tblPr>
        <w:tblStyle w:val="TableGrid"/>
        <w:tblW w:type="auto" w:w="0"/>
        <w:jc w:val="left"/>
        <w:tblLook w:firstColumn="1" w:firstRow="1" w:lastColumn="0" w:lastRow="0" w:noHBand="0" w:noVBand="1" w:val="04A0"/>
      </w:tblPr>
      <w:tblGrid>
        <w:gridCol w:w="4419"/>
        <w:gridCol w:w="4419"/>
      </w:tblGrid>
      <w:tr>
        <w:tc>
          <w:tcPr>
            <w:tcW w:type="dxa" w:w="3118"/>
            <w:shd w:val="clear" w:color="auto" w:fill="E2E5EE"/>
          </w:tcPr>
          <w:p>
            <w:pPr>
              <w:spacing w:after="40"/>
            </w:pPr>
            <w:r/>
            <w:r>
              <w:rPr>
                <w:b/>
                <w:sz w:val="19"/>
              </w:rPr>
              <w:t>Limite</w:t>
            </w:r>
          </w:p>
        </w:tc>
        <w:tc>
          <w:tcPr>
            <w:tcW w:type="dxa" w:w="5386"/>
            <w:shd w:val="clear" w:color="auto" w:fill="E2E5EE"/>
          </w:tcPr>
          <w:p>
            <w:pPr>
              <w:spacing w:after="40"/>
            </w:pPr>
            <w:r/>
            <w:r>
              <w:rPr>
                <w:b/>
                <w:sz w:val="19"/>
              </w:rPr>
              <w:t>Conséquence</w:t>
            </w:r>
          </w:p>
        </w:tc>
      </w:tr>
      <w:tr>
        <w:tc>
          <w:tcPr>
            <w:tcW w:type="dxa" w:w="3118"/>
          </w:tcPr>
          <w:p>
            <w:pPr>
              <w:spacing w:after="40"/>
            </w:pPr>
            <w:r>
              <w:rPr>
                <w:b/>
                <w:sz w:val="19"/>
              </w:rPr>
              <w:t>Aucun historique de candidatures réelles</w:t>
            </w:r>
          </w:p>
        </w:tc>
        <w:tc>
          <w:tcPr>
            <w:tcW w:type="dxa" w:w="5386"/>
          </w:tcPr>
          <w:p>
            <w:pPr>
              <w:spacing w:after="40"/>
            </w:pPr>
            <w:r>
              <w:rPr>
                <w:sz w:val="19"/>
              </w:rPr>
              <w:t>La pertinence est un proxy calculé, non un jugement humain observé. C'est la limite principale.</w:t>
            </w:r>
          </w:p>
        </w:tc>
      </w:tr>
      <w:tr>
        <w:tc>
          <w:tcPr>
            <w:tcW w:type="dxa" w:w="3118"/>
          </w:tcPr>
          <w:p>
            <w:pPr>
              <w:spacing w:after="40"/>
            </w:pPr>
            <w:r>
              <w:rPr>
                <w:b/>
                <w:sz w:val="19"/>
              </w:rPr>
              <w:t>La pertinence est de la correspondance exacte</w:t>
            </w:r>
          </w:p>
        </w:tc>
        <w:tc>
          <w:tcPr>
            <w:tcW w:type="dxa" w:w="5386"/>
          </w:tcPr>
          <w:p>
            <w:pPr>
              <w:spacing w:after="40"/>
            </w:pPr>
            <w:r>
              <w:rPr>
                <w:sz w:val="19"/>
              </w:rPr>
              <w:t>Elle pénalise structurellement tout lissage : la co-occurrence est jugée par le critère qu'elle prétend dépasser.</w:t>
            </w:r>
          </w:p>
        </w:tc>
      </w:tr>
      <w:tr>
        <w:tc>
          <w:tcPr>
            <w:tcW w:type="dxa" w:w="3118"/>
          </w:tcPr>
          <w:p>
            <w:pPr>
              <w:spacing w:after="40"/>
            </w:pPr>
            <w:r>
              <w:rPr>
                <w:b/>
                <w:sz w:val="19"/>
              </w:rPr>
              <w:t>Corpus de 67 offres et 38 étudiants</w:t>
            </w:r>
          </w:p>
        </w:tc>
        <w:tc>
          <w:tcPr>
            <w:tcW w:type="dxa" w:w="5386"/>
          </w:tcPr>
          <w:p>
            <w:pPr>
              <w:spacing w:after="40"/>
            </w:pPr>
            <w:r>
              <w:rPr>
                <w:sz w:val="19"/>
              </w:rPr>
              <w:t>Les écarts inférieurs à deux points ne sont pas interprétables.</w:t>
            </w:r>
          </w:p>
        </w:tc>
      </w:tr>
      <w:tr>
        <w:tc>
          <w:tcPr>
            <w:tcW w:type="dxa" w:w="3118"/>
          </w:tcPr>
          <w:p>
            <w:pPr>
              <w:spacing w:after="40"/>
            </w:pPr>
            <w:r>
              <w:rPr>
                <w:b/>
                <w:sz w:val="19"/>
              </w:rPr>
              <w:t>83 paires pertinentes seulement</w:t>
            </w:r>
          </w:p>
        </w:tc>
        <w:tc>
          <w:tcPr>
            <w:tcW w:type="dxa" w:w="5386"/>
          </w:tcPr>
          <w:p>
            <w:pPr>
              <w:spacing w:after="40"/>
            </w:pPr>
            <w:r>
              <w:rPr>
                <w:sz w:val="19"/>
              </w:rPr>
              <w:t>Une poignée d'étudiants pèse lourd dans les moyennes.</w:t>
            </w:r>
          </w:p>
        </w:tc>
      </w:tr>
      <w:tr>
        <w:tc>
          <w:tcPr>
            <w:tcW w:type="dxa" w:w="3118"/>
          </w:tcPr>
          <w:p>
            <w:pPr>
              <w:spacing w:after="40"/>
            </w:pPr>
            <w:r>
              <w:rPr>
                <w:b/>
                <w:sz w:val="19"/>
              </w:rPr>
              <w:t>Ablation d'une seule compétence</w:t>
            </w:r>
          </w:p>
        </w:tc>
        <w:tc>
          <w:tcPr>
            <w:tcW w:type="dxa" w:w="5386"/>
          </w:tcPr>
          <w:p>
            <w:pPr>
              <w:spacing w:after="40"/>
            </w:pPr>
            <w:r>
              <w:rPr>
                <w:sz w:val="19"/>
              </w:rPr>
              <w:t>Un profil réel peut en manquer plusieurs ; l'effet n'est pas mesuré à ce régime.</w:t>
            </w:r>
          </w:p>
        </w:tc>
      </w:tr>
      <w:tr>
        <w:tc>
          <w:tcPr>
            <w:tcW w:type="dxa" w:w="3118"/>
          </w:tcPr>
          <w:p>
            <w:pPr>
              <w:spacing w:after="40"/>
            </w:pPr>
            <w:r>
              <w:rPr>
                <w:b/>
                <w:sz w:val="19"/>
              </w:rPr>
              <w:t>Aucun test de significativité</w:t>
            </w:r>
          </w:p>
        </w:tc>
        <w:tc>
          <w:tcPr>
            <w:tcW w:type="dxa" w:w="5386"/>
          </w:tcPr>
          <w:p>
            <w:pPr>
              <w:spacing w:after="40"/>
            </w:pPr>
            <w:r>
              <w:rPr>
                <w:sz w:val="19"/>
              </w:rPr>
              <w:t>Avec ces effectifs il ne serait pas concluant. Les écarts ne doivent pas être présentés comme des résultats statistiques.</w:t>
            </w:r>
          </w:p>
        </w:tc>
      </w:tr>
      <w:tr>
        <w:tc>
          <w:tcPr>
            <w:tcW w:type="dxa" w:w="3118"/>
          </w:tcPr>
          <w:p>
            <w:pPr>
              <w:spacing w:after="40"/>
            </w:pPr>
            <w:r>
              <w:rPr>
                <w:b/>
                <w:sz w:val="19"/>
              </w:rPr>
              <w:t>Corpus de CV synthétique</w:t>
            </w:r>
          </w:p>
        </w:tc>
        <w:tc>
          <w:tcPr>
            <w:tcW w:type="dxa" w:w="5386"/>
          </w:tcPr>
          <w:p>
            <w:pPr>
              <w:spacing w:after="40"/>
            </w:pPr>
            <w:r>
              <w:rPr>
                <w:sz w:val="19"/>
              </w:rPr>
              <w:t>Vérité terrain exacte, mais chiffres à lire comme une borne supérieure.</w:t>
            </w:r>
          </w:p>
        </w:tc>
      </w:tr>
    </w:tbl>
    <w:p>
      <w:pPr>
        <w:spacing w:after="40"/>
      </w:pPr>
    </w:p>
    <w:p>
      <w:r>
        <w:br w:type="page"/>
      </w:r>
    </w:p>
    <w:p>
      <w:pPr>
        <w:pStyle w:val="Heading2"/>
      </w:pPr>
      <w:r>
        <w:t>4.4  Évaluation budgétaire a posteriori</w:t>
      </w:r>
    </w:p>
    <w:p>
      <w:r>
        <w:rPr>
          <w:sz w:val="22"/>
        </w:rPr>
        <w:t xml:space="preserve">Le chapitre 3 a estimé, par le modèle COCOMO, l'effort et le budget qu'aurait demandés la plateforme, à partir d'une taille </w:t>
      </w:r>
      <w:r>
        <w:rPr>
          <w:b/>
          <w:sz w:val="22"/>
        </w:rPr>
        <w:t>prévue</w:t>
      </w:r>
      <w:r>
        <w:rPr>
          <w:sz w:val="22"/>
        </w:rPr>
        <w:t xml:space="preserve"> par décomposition fonctionnelle. Cette section apporte la réponse : la même méthode, les mêmes facteurs d'ajustement, appliqués cette fois à la taille </w:t>
      </w:r>
      <w:r>
        <w:rPr>
          <w:b/>
          <w:sz w:val="22"/>
        </w:rPr>
        <w:t>mesurée</w:t>
      </w:r>
      <w:r>
        <w:rPr>
          <w:sz w:val="22"/>
        </w:rPr>
        <w:t xml:space="preserve"> du logiciel livré.</w:t>
      </w:r>
    </w:p>
    <w:p>
      <w:pPr>
        <w:pStyle w:val="Heading3"/>
      </w:pPr>
      <w:r>
        <w:t>4.4.1  La taille réelle du logiciel</w:t>
      </w:r>
    </w:p>
    <w:p>
      <w:r>
        <w:rPr>
          <w:sz w:val="22"/>
        </w:rPr>
        <w:t>La taille est comptée en lignes de code source : lignes non vides, commentaires exclus. Le décompte porte sur le code de l'application et sur ses scripts d'installation, de migration et de mesure.</w:t>
      </w:r>
    </w:p>
    <w:p>
      <w:pPr>
        <w:spacing w:before="160" w:after="80"/>
      </w:pPr>
      <w:r>
        <w:rPr>
          <w:color w:val="565B6E"/>
          <w:sz w:val="18"/>
        </w:rPr>
        <w:t>Tableau 4.12 : Taille mesurée du logiciel livré</w:t>
      </w:r>
    </w:p>
    <w:tbl>
      <w:tblPr>
        <w:tblStyle w:val="TableGrid"/>
        <w:tblW w:type="auto" w:w="0"/>
        <w:jc w:val="left"/>
        <w:tblLook w:firstColumn="1" w:firstRow="1" w:lastColumn="0" w:lastRow="0" w:noHBand="0" w:noVBand="1" w:val="04A0"/>
      </w:tblPr>
      <w:tblGrid>
        <w:gridCol w:w="2946"/>
        <w:gridCol w:w="2946"/>
        <w:gridCol w:w="2946"/>
      </w:tblGrid>
      <w:tr>
        <w:tc>
          <w:tcPr>
            <w:tcW w:type="dxa" w:w="5102"/>
            <w:shd w:val="clear" w:color="auto" w:fill="E2E5EE"/>
          </w:tcPr>
          <w:p>
            <w:pPr>
              <w:spacing w:after="40"/>
            </w:pPr>
            <w:r/>
            <w:r>
              <w:rPr>
                <w:b/>
                <w:sz w:val="19"/>
              </w:rPr>
              <w:t>Partie</w:t>
            </w:r>
          </w:p>
        </w:tc>
        <w:tc>
          <w:tcPr>
            <w:tcW w:type="dxa" w:w="1417"/>
            <w:shd w:val="clear" w:color="auto" w:fill="E2E5EE"/>
          </w:tcPr>
          <w:p>
            <w:pPr>
              <w:spacing w:after="40"/>
            </w:pPr>
            <w:r/>
            <w:r>
              <w:rPr>
                <w:b/>
                <w:sz w:val="19"/>
              </w:rPr>
              <w:t>Fichiers</w:t>
            </w:r>
          </w:p>
        </w:tc>
        <w:tc>
          <w:tcPr>
            <w:tcW w:type="dxa" w:w="1984"/>
            <w:shd w:val="clear" w:color="auto" w:fill="E2E5EE"/>
          </w:tcPr>
          <w:p>
            <w:pPr>
              <w:spacing w:after="40"/>
            </w:pPr>
            <w:r/>
            <w:r>
              <w:rPr>
                <w:b/>
                <w:sz w:val="19"/>
              </w:rPr>
              <w:t>Lignes de code</w:t>
            </w:r>
          </w:p>
        </w:tc>
      </w:tr>
      <w:tr>
        <w:tc>
          <w:tcPr>
            <w:tcW w:type="dxa" w:w="5102"/>
          </w:tcPr>
          <w:p>
            <w:pPr>
              <w:spacing w:after="40"/>
            </w:pPr>
            <w:r>
              <w:rPr>
                <w:sz w:val="19"/>
              </w:rPr>
              <w:t>Pages (interface)</w:t>
            </w:r>
          </w:p>
        </w:tc>
        <w:tc>
          <w:tcPr>
            <w:tcW w:type="dxa" w:w="1417"/>
          </w:tcPr>
          <w:p>
            <w:pPr>
              <w:spacing w:after="40"/>
              <w:jc w:val="right"/>
            </w:pPr>
            <w:r>
              <w:rPr>
                <w:sz w:val="19"/>
              </w:rPr>
              <w:t>43</w:t>
            </w:r>
          </w:p>
        </w:tc>
        <w:tc>
          <w:tcPr>
            <w:tcW w:type="dxa" w:w="1984"/>
          </w:tcPr>
          <w:p>
            <w:pPr>
              <w:spacing w:after="40"/>
              <w:jc w:val="right"/>
            </w:pPr>
            <w:r>
              <w:rPr>
                <w:sz w:val="19"/>
              </w:rPr>
              <w:t>12 887</w:t>
            </w:r>
          </w:p>
        </w:tc>
      </w:tr>
      <w:tr>
        <w:tc>
          <w:tcPr>
            <w:tcW w:type="dxa" w:w="5102"/>
          </w:tcPr>
          <w:p>
            <w:pPr>
              <w:spacing w:after="40"/>
            </w:pPr>
            <w:r>
              <w:rPr>
                <w:sz w:val="19"/>
              </w:rPr>
              <w:t>Composants et styles</w:t>
            </w:r>
          </w:p>
        </w:tc>
        <w:tc>
          <w:tcPr>
            <w:tcW w:type="dxa" w:w="1417"/>
          </w:tcPr>
          <w:p>
            <w:pPr>
              <w:spacing w:after="40"/>
              <w:jc w:val="right"/>
            </w:pPr>
            <w:r>
              <w:rPr>
                <w:sz w:val="19"/>
              </w:rPr>
              <w:t>50</w:t>
            </w:r>
          </w:p>
        </w:tc>
        <w:tc>
          <w:tcPr>
            <w:tcW w:type="dxa" w:w="1984"/>
          </w:tcPr>
          <w:p>
            <w:pPr>
              <w:spacing w:after="40"/>
              <w:jc w:val="right"/>
            </w:pPr>
            <w:r>
              <w:rPr>
                <w:sz w:val="19"/>
              </w:rPr>
              <w:t>15 531</w:t>
            </w:r>
          </w:p>
        </w:tc>
      </w:tr>
      <w:tr>
        <w:tc>
          <w:tcPr>
            <w:tcW w:type="dxa" w:w="5102"/>
          </w:tcPr>
          <w:p>
            <w:pPr>
              <w:spacing w:after="40"/>
            </w:pPr>
            <w:r>
              <w:rPr>
                <w:sz w:val="19"/>
              </w:rPr>
              <w:t>Routes API</w:t>
            </w:r>
          </w:p>
        </w:tc>
        <w:tc>
          <w:tcPr>
            <w:tcW w:type="dxa" w:w="1417"/>
          </w:tcPr>
          <w:p>
            <w:pPr>
              <w:spacing w:after="40"/>
              <w:jc w:val="right"/>
            </w:pPr>
            <w:r>
              <w:rPr>
                <w:sz w:val="19"/>
              </w:rPr>
              <w:t>60</w:t>
            </w:r>
          </w:p>
        </w:tc>
        <w:tc>
          <w:tcPr>
            <w:tcW w:type="dxa" w:w="1984"/>
          </w:tcPr>
          <w:p>
            <w:pPr>
              <w:spacing w:after="40"/>
              <w:jc w:val="right"/>
            </w:pPr>
            <w:r>
              <w:rPr>
                <w:sz w:val="19"/>
              </w:rPr>
              <w:t>6 609</w:t>
            </w:r>
          </w:p>
        </w:tc>
      </w:tr>
      <w:tr>
        <w:tc>
          <w:tcPr>
            <w:tcW w:type="dxa" w:w="5102"/>
          </w:tcPr>
          <w:p>
            <w:pPr>
              <w:spacing w:after="40"/>
            </w:pPr>
            <w:r>
              <w:rPr>
                <w:sz w:val="19"/>
              </w:rPr>
              <w:t>Bibliothèque métier</w:t>
            </w:r>
          </w:p>
        </w:tc>
        <w:tc>
          <w:tcPr>
            <w:tcW w:type="dxa" w:w="1417"/>
          </w:tcPr>
          <w:p>
            <w:pPr>
              <w:spacing w:after="40"/>
              <w:jc w:val="right"/>
            </w:pPr>
            <w:r>
              <w:rPr>
                <w:sz w:val="19"/>
              </w:rPr>
              <w:t>24</w:t>
            </w:r>
          </w:p>
        </w:tc>
        <w:tc>
          <w:tcPr>
            <w:tcW w:type="dxa" w:w="1984"/>
          </w:tcPr>
          <w:p>
            <w:pPr>
              <w:spacing w:after="40"/>
              <w:jc w:val="right"/>
            </w:pPr>
            <w:r>
              <w:rPr>
                <w:sz w:val="19"/>
              </w:rPr>
              <w:t>2 154</w:t>
            </w:r>
          </w:p>
        </w:tc>
      </w:tr>
      <w:tr>
        <w:tc>
          <w:tcPr>
            <w:tcW w:type="dxa" w:w="5102"/>
          </w:tcPr>
          <w:p>
            <w:pPr>
              <w:spacing w:after="40"/>
            </w:pPr>
            <w:r>
              <w:rPr>
                <w:sz w:val="19"/>
              </w:rPr>
              <w:t>Racine de l'application</w:t>
            </w:r>
          </w:p>
        </w:tc>
        <w:tc>
          <w:tcPr>
            <w:tcW w:type="dxa" w:w="1417"/>
          </w:tcPr>
          <w:p>
            <w:pPr>
              <w:spacing w:after="40"/>
              <w:jc w:val="right"/>
            </w:pPr>
            <w:r>
              <w:rPr>
                <w:sz w:val="19"/>
              </w:rPr>
              <w:t>3</w:t>
            </w:r>
          </w:p>
        </w:tc>
        <w:tc>
          <w:tcPr>
            <w:tcW w:type="dxa" w:w="1984"/>
          </w:tcPr>
          <w:p>
            <w:pPr>
              <w:spacing w:after="40"/>
              <w:jc w:val="right"/>
            </w:pPr>
            <w:r>
              <w:rPr>
                <w:sz w:val="19"/>
              </w:rPr>
              <w:t>545</w:t>
            </w:r>
          </w:p>
        </w:tc>
      </w:tr>
      <w:tr>
        <w:tc>
          <w:tcPr>
            <w:tcW w:type="dxa" w:w="5102"/>
          </w:tcPr>
          <w:p>
            <w:pPr>
              <w:spacing w:after="40"/>
            </w:pPr>
            <w:r>
              <w:rPr>
                <w:sz w:val="19"/>
              </w:rPr>
              <w:t>Migrations SQL</w:t>
            </w:r>
          </w:p>
        </w:tc>
        <w:tc>
          <w:tcPr>
            <w:tcW w:type="dxa" w:w="1417"/>
          </w:tcPr>
          <w:p>
            <w:pPr>
              <w:spacing w:after="40"/>
              <w:jc w:val="right"/>
            </w:pPr>
            <w:r>
              <w:rPr>
                <w:sz w:val="19"/>
              </w:rPr>
              <w:t>14</w:t>
            </w:r>
          </w:p>
        </w:tc>
        <w:tc>
          <w:tcPr>
            <w:tcW w:type="dxa" w:w="1984"/>
          </w:tcPr>
          <w:p>
            <w:pPr>
              <w:spacing w:after="40"/>
              <w:jc w:val="right"/>
            </w:pPr>
            <w:r>
              <w:rPr>
                <w:sz w:val="19"/>
              </w:rPr>
              <w:t>365</w:t>
            </w:r>
          </w:p>
        </w:tc>
      </w:tr>
      <w:tr>
        <w:tc>
          <w:tcPr>
            <w:tcW w:type="dxa" w:w="5102"/>
          </w:tcPr>
          <w:p>
            <w:pPr>
              <w:spacing w:after="40"/>
            </w:pPr>
            <w:r>
              <w:rPr>
                <w:sz w:val="19"/>
              </w:rPr>
              <w:t>Scripts de base, corpus et mesures</w:t>
            </w:r>
          </w:p>
        </w:tc>
        <w:tc>
          <w:tcPr>
            <w:tcW w:type="dxa" w:w="1417"/>
          </w:tcPr>
          <w:p>
            <w:pPr>
              <w:spacing w:after="40"/>
              <w:jc w:val="right"/>
            </w:pPr>
            <w:r>
              <w:rPr>
                <w:sz w:val="19"/>
              </w:rPr>
              <w:t>19</w:t>
            </w:r>
          </w:p>
        </w:tc>
        <w:tc>
          <w:tcPr>
            <w:tcW w:type="dxa" w:w="1984"/>
          </w:tcPr>
          <w:p>
            <w:pPr>
              <w:spacing w:after="40"/>
              <w:jc w:val="right"/>
            </w:pPr>
            <w:r>
              <w:rPr>
                <w:sz w:val="19"/>
              </w:rPr>
              <w:t>3 487</w:t>
            </w:r>
          </w:p>
        </w:tc>
      </w:tr>
      <w:tr>
        <w:tc>
          <w:tcPr>
            <w:tcW w:type="dxa" w:w="5102"/>
          </w:tcPr>
          <w:p>
            <w:pPr>
              <w:spacing w:after="40"/>
            </w:pPr>
            <w:r>
              <w:rPr>
                <w:b/>
                <w:sz w:val="19"/>
              </w:rPr>
              <w:t>Produit livré</w:t>
            </w:r>
          </w:p>
        </w:tc>
        <w:tc>
          <w:tcPr>
            <w:tcW w:type="dxa" w:w="1417"/>
          </w:tcPr>
          <w:p>
            <w:pPr>
              <w:spacing w:after="40"/>
              <w:jc w:val="right"/>
            </w:pPr>
            <w:r>
              <w:rPr>
                <w:b/>
                <w:sz w:val="19"/>
              </w:rPr>
              <w:t>213</w:t>
            </w:r>
          </w:p>
        </w:tc>
        <w:tc>
          <w:tcPr>
            <w:tcW w:type="dxa" w:w="1984"/>
          </w:tcPr>
          <w:p>
            <w:pPr>
              <w:spacing w:after="40"/>
              <w:jc w:val="right"/>
            </w:pPr>
            <w:r>
              <w:rPr>
                <w:b/>
                <w:sz w:val="19"/>
              </w:rPr>
              <w:t>41 578</w:t>
            </w:r>
          </w:p>
        </w:tc>
      </w:tr>
    </w:tbl>
    <w:p>
      <w:pPr>
        <w:spacing w:after="40"/>
      </w:pPr>
    </w:p>
    <w:p>
      <w:r>
        <w:rPr>
          <w:sz w:val="22"/>
        </w:rPr>
        <w:t xml:space="preserve">Le logiciel livré compte </w:t>
      </w:r>
      <w:r>
        <w:rPr>
          <w:b/>
          <w:sz w:val="22"/>
        </w:rPr>
        <w:t>41 578 lignes de code</w:t>
      </w:r>
      <w:r>
        <w:rPr>
          <w:sz w:val="22"/>
        </w:rPr>
        <w:t xml:space="preserve">, soit 41,6 KLOC. Une partie se détache : les composants et styles pèsent 15 531 lignes, </w:t>
      </w:r>
      <w:r>
        <w:rPr>
          <w:b/>
          <w:sz w:val="22"/>
        </w:rPr>
        <w:t>37 % du total</w:t>
      </w:r>
      <w:r>
        <w:rPr>
          <w:sz w:val="22"/>
        </w:rPr>
        <w:t>. L'interface est en effet mise en forme par des feuilles de style écrites en JavaScript, où chaque règle d'apparence devient une ligne de programme.</w:t>
      </w:r>
    </w:p>
    <w:p>
      <w:pPr>
        <w:pStyle w:val="Heading3"/>
      </w:pPr>
      <w:r>
        <w:t>4.4.2  L'effort recalculé</w:t>
      </w:r>
    </w:p>
    <w:p>
      <w:r>
        <w:rPr>
          <w:sz w:val="22"/>
        </w:rPr>
        <w:t>Les styles posent une question de méthode. COCOMO compte des lignes parce qu'il suppose qu'elles coûtent à peu près le même effort chacune ; une ligne qui fixe une marge ne coûte pas l'effort d'une ligne de logique métier. Nous présentons donc deux calculs : sur la totalité du code, et hors composants et styles.</w:t>
      </w:r>
    </w:p>
    <w:p>
      <w:pPr>
        <w:spacing w:before="160" w:after="80"/>
      </w:pPr>
      <w:r>
        <w:rPr>
          <w:color w:val="565B6E"/>
          <w:sz w:val="18"/>
        </w:rPr>
        <w:t>Tableau 4.13 : Prévision et réalité, selon COCOMO intermédiaire (mode organique, EAF = 0,815)</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494"/>
            <w:shd w:val="clear" w:color="auto" w:fill="E2E5EE"/>
          </w:tcPr>
          <w:p>
            <w:pPr>
              <w:spacing w:after="40"/>
            </w:pPr>
            <w:r/>
            <w:r>
              <w:rPr>
                <w:b/>
                <w:sz w:val="19"/>
              </w:rPr>
            </w:r>
          </w:p>
        </w:tc>
        <w:tc>
          <w:tcPr>
            <w:tcW w:type="dxa" w:w="1928"/>
            <w:shd w:val="clear" w:color="auto" w:fill="E2E5EE"/>
          </w:tcPr>
          <w:p>
            <w:pPr>
              <w:spacing w:after="40"/>
            </w:pPr>
            <w:r/>
            <w:r>
              <w:rPr>
                <w:b/>
                <w:sz w:val="19"/>
              </w:rPr>
              <w:t>Prévision (ch. 3)</w:t>
            </w:r>
          </w:p>
        </w:tc>
        <w:tc>
          <w:tcPr>
            <w:tcW w:type="dxa" w:w="2041"/>
            <w:shd w:val="clear" w:color="auto" w:fill="E2E5EE"/>
          </w:tcPr>
          <w:p>
            <w:pPr>
              <w:spacing w:after="40"/>
            </w:pPr>
            <w:r/>
            <w:r>
              <w:rPr>
                <w:b/>
                <w:sz w:val="19"/>
              </w:rPr>
              <w:t>Réalité : tout le code</w:t>
            </w:r>
          </w:p>
        </w:tc>
        <w:tc>
          <w:tcPr>
            <w:tcW w:type="dxa" w:w="2041"/>
            <w:shd w:val="clear" w:color="auto" w:fill="E2E5EE"/>
          </w:tcPr>
          <w:p>
            <w:pPr>
              <w:spacing w:after="40"/>
            </w:pPr>
            <w:r/>
            <w:r>
              <w:rPr>
                <w:b/>
                <w:sz w:val="19"/>
              </w:rPr>
              <w:t>Réalité : hors styles</w:t>
            </w:r>
          </w:p>
        </w:tc>
      </w:tr>
      <w:tr>
        <w:tc>
          <w:tcPr>
            <w:tcW w:type="dxa" w:w="2494"/>
          </w:tcPr>
          <w:p>
            <w:pPr>
              <w:spacing w:after="40"/>
            </w:pPr>
            <w:r>
              <w:rPr>
                <w:sz w:val="19"/>
              </w:rPr>
              <w:t>Taille (KLOC)</w:t>
            </w:r>
          </w:p>
        </w:tc>
        <w:tc>
          <w:tcPr>
            <w:tcW w:type="dxa" w:w="1928"/>
          </w:tcPr>
          <w:p>
            <w:pPr>
              <w:spacing w:after="40"/>
              <w:jc w:val="right"/>
            </w:pPr>
            <w:r>
              <w:rPr>
                <w:sz w:val="19"/>
              </w:rPr>
              <w:t>23,0</w:t>
            </w:r>
          </w:p>
        </w:tc>
        <w:tc>
          <w:tcPr>
            <w:tcW w:type="dxa" w:w="2041"/>
          </w:tcPr>
          <w:p>
            <w:pPr>
              <w:spacing w:after="40"/>
              <w:jc w:val="right"/>
            </w:pPr>
            <w:r>
              <w:rPr>
                <w:sz w:val="19"/>
              </w:rPr>
              <w:t>41,6</w:t>
            </w:r>
          </w:p>
        </w:tc>
        <w:tc>
          <w:tcPr>
            <w:tcW w:type="dxa" w:w="2041"/>
          </w:tcPr>
          <w:p>
            <w:pPr>
              <w:spacing w:after="40"/>
              <w:jc w:val="right"/>
            </w:pPr>
            <w:r>
              <w:rPr>
                <w:sz w:val="19"/>
              </w:rPr>
              <w:t>26,0</w:t>
            </w:r>
          </w:p>
        </w:tc>
      </w:tr>
      <w:tr>
        <w:tc>
          <w:tcPr>
            <w:tcW w:type="dxa" w:w="2494"/>
          </w:tcPr>
          <w:p>
            <w:pPr>
              <w:spacing w:after="40"/>
            </w:pPr>
            <w:r>
              <w:rPr>
                <w:sz w:val="19"/>
              </w:rPr>
              <w:t>Effort (personnes-mois)</w:t>
            </w:r>
          </w:p>
        </w:tc>
        <w:tc>
          <w:tcPr>
            <w:tcW w:type="dxa" w:w="1928"/>
          </w:tcPr>
          <w:p>
            <w:pPr>
              <w:spacing w:after="40"/>
              <w:jc w:val="right"/>
            </w:pPr>
            <w:r>
              <w:rPr>
                <w:sz w:val="19"/>
              </w:rPr>
              <w:t>70,2</w:t>
            </w:r>
          </w:p>
        </w:tc>
        <w:tc>
          <w:tcPr>
            <w:tcW w:type="dxa" w:w="2041"/>
          </w:tcPr>
          <w:p>
            <w:pPr>
              <w:spacing w:after="40"/>
              <w:jc w:val="right"/>
            </w:pPr>
            <w:r>
              <w:rPr>
                <w:sz w:val="19"/>
              </w:rPr>
              <w:t>130,6</w:t>
            </w:r>
          </w:p>
        </w:tc>
        <w:tc>
          <w:tcPr>
            <w:tcW w:type="dxa" w:w="2041"/>
          </w:tcPr>
          <w:p>
            <w:pPr>
              <w:spacing w:after="40"/>
              <w:jc w:val="right"/>
            </w:pPr>
            <w:r>
              <w:rPr>
                <w:sz w:val="19"/>
              </w:rPr>
              <w:t>79,9</w:t>
            </w:r>
          </w:p>
        </w:tc>
      </w:tr>
      <w:tr>
        <w:tc>
          <w:tcPr>
            <w:tcW w:type="dxa" w:w="2494"/>
          </w:tcPr>
          <w:p>
            <w:pPr>
              <w:spacing w:after="40"/>
            </w:pPr>
            <w:r>
              <w:rPr>
                <w:sz w:val="19"/>
              </w:rPr>
              <w:t>Délai (mois)</w:t>
            </w:r>
          </w:p>
        </w:tc>
        <w:tc>
          <w:tcPr>
            <w:tcW w:type="dxa" w:w="1928"/>
          </w:tcPr>
          <w:p>
            <w:pPr>
              <w:spacing w:after="40"/>
              <w:jc w:val="right"/>
            </w:pPr>
            <w:r>
              <w:rPr>
                <w:sz w:val="19"/>
              </w:rPr>
              <w:t>12,6</w:t>
            </w:r>
          </w:p>
        </w:tc>
        <w:tc>
          <w:tcPr>
            <w:tcW w:type="dxa" w:w="2041"/>
          </w:tcPr>
          <w:p>
            <w:pPr>
              <w:spacing w:after="40"/>
              <w:jc w:val="right"/>
            </w:pPr>
            <w:r>
              <w:rPr>
                <w:sz w:val="19"/>
              </w:rPr>
              <w:t>15,9</w:t>
            </w:r>
          </w:p>
        </w:tc>
        <w:tc>
          <w:tcPr>
            <w:tcW w:type="dxa" w:w="2041"/>
          </w:tcPr>
          <w:p>
            <w:pPr>
              <w:spacing w:after="40"/>
              <w:jc w:val="right"/>
            </w:pPr>
            <w:r>
              <w:rPr>
                <w:sz w:val="19"/>
              </w:rPr>
              <w:t>13,2</w:t>
            </w:r>
          </w:p>
        </w:tc>
      </w:tr>
      <w:tr>
        <w:tc>
          <w:tcPr>
            <w:tcW w:type="dxa" w:w="2494"/>
          </w:tcPr>
          <w:p>
            <w:pPr>
              <w:spacing w:after="40"/>
            </w:pPr>
            <w:r>
              <w:rPr>
                <w:sz w:val="19"/>
              </w:rPr>
              <w:t>Effectif moyen</w:t>
            </w:r>
          </w:p>
        </w:tc>
        <w:tc>
          <w:tcPr>
            <w:tcW w:type="dxa" w:w="1928"/>
          </w:tcPr>
          <w:p>
            <w:pPr>
              <w:spacing w:after="40"/>
              <w:jc w:val="right"/>
            </w:pPr>
            <w:r>
              <w:rPr>
                <w:sz w:val="19"/>
              </w:rPr>
              <w:t>5,6</w:t>
            </w:r>
          </w:p>
        </w:tc>
        <w:tc>
          <w:tcPr>
            <w:tcW w:type="dxa" w:w="2041"/>
          </w:tcPr>
          <w:p>
            <w:pPr>
              <w:spacing w:after="40"/>
              <w:jc w:val="right"/>
            </w:pPr>
            <w:r>
              <w:rPr>
                <w:sz w:val="19"/>
              </w:rPr>
              <w:t>8,2</w:t>
            </w:r>
          </w:p>
        </w:tc>
        <w:tc>
          <w:tcPr>
            <w:tcW w:type="dxa" w:w="2041"/>
          </w:tcPr>
          <w:p>
            <w:pPr>
              <w:spacing w:after="40"/>
              <w:jc w:val="right"/>
            </w:pPr>
            <w:r>
              <w:rPr>
                <w:sz w:val="19"/>
              </w:rPr>
              <w:t>6,0</w:t>
            </w:r>
          </w:p>
        </w:tc>
      </w:tr>
      <w:tr>
        <w:tc>
          <w:tcPr>
            <w:tcW w:type="dxa" w:w="2494"/>
          </w:tcPr>
          <w:p>
            <w:pPr>
              <w:spacing w:after="40"/>
            </w:pPr>
            <w:r>
              <w:rPr>
                <w:sz w:val="19"/>
              </w:rPr>
              <w:t>Budget (à 1,5 M Ar / mois)</w:t>
            </w:r>
          </w:p>
        </w:tc>
        <w:tc>
          <w:tcPr>
            <w:tcW w:type="dxa" w:w="1928"/>
          </w:tcPr>
          <w:p>
            <w:pPr>
              <w:spacing w:after="40"/>
              <w:jc w:val="right"/>
            </w:pPr>
            <w:r>
              <w:rPr>
                <w:sz w:val="19"/>
              </w:rPr>
              <w:t>106,1 M Ar</w:t>
            </w:r>
          </w:p>
        </w:tc>
        <w:tc>
          <w:tcPr>
            <w:tcW w:type="dxa" w:w="2041"/>
          </w:tcPr>
          <w:p>
            <w:pPr>
              <w:spacing w:after="40"/>
              <w:jc w:val="right"/>
            </w:pPr>
            <w:r>
              <w:rPr>
                <w:sz w:val="19"/>
              </w:rPr>
              <w:t>196,9 M Ar</w:t>
            </w:r>
          </w:p>
        </w:tc>
        <w:tc>
          <w:tcPr>
            <w:tcW w:type="dxa" w:w="2041"/>
          </w:tcPr>
          <w:p>
            <w:pPr>
              <w:spacing w:after="40"/>
              <w:jc w:val="right"/>
            </w:pPr>
            <w:r>
              <w:rPr>
                <w:sz w:val="19"/>
              </w:rPr>
              <w:t>120,7 M Ar</w:t>
            </w:r>
          </w:p>
        </w:tc>
      </w:tr>
    </w:tbl>
    <w:p>
      <w:pPr>
        <w:spacing w:after="40"/>
      </w:pPr>
    </w:p>
    <w:p>
      <w:pPr>
        <w:spacing w:before="200" w:after="40"/>
        <w:ind w:left="567"/>
        <w:shd w:val="clear" w:color="auto" w:fill="F4F5F9"/>
        <w:pBdr>
          <w:left w:val="single" w:sz="18" w:space="8" w:color="31356E"/>
        </w:pBdr>
      </w:pPr>
      <w:r>
        <w:rPr>
          <w:rFonts w:ascii="Cambria Math" w:hAnsi="Cambria Math"/>
          <w:sz w:val="23"/>
        </w:rPr>
        <w:t>E = 3,2 × 41,6</w:t>
      </w:r>
      <w:r>
        <w:rPr>
          <w:rFonts w:ascii="Cambria Math" w:hAnsi="Cambria Math"/>
          <w:sz w:val="23"/>
          <w:vertAlign w:val="superscript"/>
        </w:rPr>
        <w:t>1,05</w:t>
      </w:r>
      <w:r>
        <w:rPr>
          <w:rFonts w:ascii="Cambria Math" w:hAnsi="Cambria Math"/>
          <w:sz w:val="23"/>
        </w:rPr>
        <w:t xml:space="preserve"> × 0,815 = 130,6 personnes-mois   (tout le code)</w:t>
      </w:r>
    </w:p>
    <w:p>
      <w:pPr>
        <w:spacing w:before="40" w:after="200"/>
        <w:ind w:left="567"/>
        <w:shd w:val="clear" w:color="auto" w:fill="F4F5F9"/>
        <w:pBdr>
          <w:left w:val="single" w:sz="18" w:space="8" w:color="31356E"/>
        </w:pBdr>
      </w:pPr>
      <w:r>
        <w:rPr>
          <w:rFonts w:ascii="Cambria Math" w:hAnsi="Cambria Math"/>
          <w:sz w:val="23"/>
        </w:rPr>
        <w:t>E = 3,2 × 26,0</w:t>
      </w:r>
      <w:r>
        <w:rPr>
          <w:rFonts w:ascii="Cambria Math" w:hAnsi="Cambria Math"/>
          <w:sz w:val="23"/>
          <w:vertAlign w:val="superscript"/>
        </w:rPr>
        <w:t>1,05</w:t>
      </w:r>
      <w:r>
        <w:rPr>
          <w:rFonts w:ascii="Cambria Math" w:hAnsi="Cambria Math"/>
          <w:sz w:val="23"/>
        </w:rPr>
        <w:t xml:space="preserve"> × 0,815 = 79,9 personnes-mois   (hors styles)</w:t>
      </w:r>
    </w:p>
    <w:p>
      <w:pPr>
        <w:pStyle w:val="Heading3"/>
      </w:pPr>
      <w:r>
        <w:t>4.4.3  Analyse de l'écart</w:t>
      </w:r>
    </w:p>
    <w:p>
      <w:r>
        <w:rPr>
          <w:sz w:val="22"/>
        </w:rPr>
        <w:t xml:space="preserve">Sur la totalité du code, la taille réelle dépasse la prévision de </w:t>
      </w:r>
      <w:r>
        <w:rPr>
          <w:b/>
          <w:sz w:val="22"/>
        </w:rPr>
        <w:t>81 %</w:t>
      </w:r>
      <w:r>
        <w:rPr>
          <w:sz w:val="22"/>
        </w:rPr>
        <w:t>, et l'effort calculé de 86 %. L'écart paraît considérable ; il se concentre pourtant presque entièrement en un seul endroit.</w:t>
      </w:r>
    </w:p>
    <w:p>
      <w:r>
        <w:rPr>
          <w:b/>
          <w:sz w:val="22"/>
        </w:rPr>
        <w:t>Hors composants et styles, l'écart tombe à 13 %</w:t>
      </w:r>
      <w:r>
        <w:rPr>
          <w:sz w:val="22"/>
        </w:rPr>
        <w:t xml:space="preserve"> : 26,0 KLOC mesurés pour 23,0 prévus. Rapporté à l'incertitude de l'estimation PERT (écart-type de 1,3 KLOC), cet écart représente 2,3 écarts-types : la partie fonctionnelle du logiciel avait donc été correctement dimensionnée.</w:t>
      </w:r>
    </w:p>
    <w:p>
      <w:r>
        <w:rPr>
          <w:sz w:val="22"/>
        </w:rPr>
        <w:t xml:space="preserve">Ce qui a été sous-estimé, c'est la </w:t>
      </w:r>
      <w:r>
        <w:rPr>
          <w:b/>
          <w:sz w:val="22"/>
        </w:rPr>
        <w:t>couche de présentation</w:t>
      </w:r>
      <w:r>
        <w:rPr>
          <w:sz w:val="22"/>
        </w:rPr>
        <w:t>. La décomposition fonctionnelle lui attribuait quatre milliers de lignes ; les seuls composants et styles en comptent près de quatre fois plus. Deux raisons l'expliquent. La première est technique : les styles écrits en JavaScript sont verbeux, une règle par ligne, là où une feuille de style partagée factoriserait. La seconde tient au projet : six des dix-sept remarques de la campagne de tests portaient sur l'apparence (palettes, icônes, textes d'en-tête), et un audit transversal a ensuite repris l'aspect de l'ensemble des écrans. Ce travail, invisible dans une décomposition fonctionnelle, s'est inscrit dans les styles.</w:t>
      </w:r>
    </w:p>
    <w:p>
      <w:r>
        <w:rPr>
          <w:sz w:val="22"/>
        </w:rPr>
        <w:t>La leçon pour une prochaine estimation est double : isoler la couche de présentation comme un module à part entière, et ne pas la mesurer à la même aune que la logique métier. C'est précisément ce que font les méthodes par points de fonction, qui comptent ce que l'utilisateur obtient plutôt que les lignes écrites pour le lui donner.</w:t>
      </w:r>
    </w:p>
    <w:p>
      <w:pPr>
        <w:pStyle w:val="Heading3"/>
      </w:pPr>
      <w:r>
        <w:t>4.4.4  Confrontation à l'effort réellement consommé</w:t>
      </w:r>
    </w:p>
    <w:p>
      <w:pPr>
        <w:spacing w:before="240" w:after="40"/>
        <w:shd w:val="clear" w:color="auto" w:fill="F0E6CF"/>
        <w:pBdr>
          <w:left w:val="single" w:sz="24" w:space="8" w:color="8A6516"/>
        </w:pBdr>
      </w:pPr>
      <w:r>
        <w:rPr>
          <w:b/>
          <w:sz w:val="22"/>
        </w:rPr>
        <w:t>Donnée à compléter</w:t>
      </w:r>
    </w:p>
    <w:p>
      <w:pPr>
        <w:spacing w:after="80"/>
        <w:shd w:val="clear" w:color="auto" w:fill="F0E6CF"/>
        <w:pBdr>
          <w:left w:val="single" w:sz="24" w:space="8" w:color="8A6516"/>
        </w:pBdr>
      </w:pPr>
      <w:r>
        <w:rPr>
          <w:sz w:val="21"/>
        </w:rPr>
        <w:t xml:space="preserve">La comparaison avec l'effort réellement consommé demande deux chiffres que le code ne contient pas : </w:t>
      </w:r>
      <w:r>
        <w:rPr>
          <w:b/>
          <w:sz w:val="21"/>
        </w:rPr>
        <w:t>la durée réelle du développement</w:t>
      </w:r>
      <w:r>
        <w:rPr>
          <w:sz w:val="21"/>
        </w:rPr>
        <w:t xml:space="preserve"> et </w:t>
      </w:r>
      <w:r>
        <w:rPr>
          <w:b/>
          <w:sz w:val="21"/>
        </w:rPr>
        <w:t>la taille de l'équipe</w:t>
      </w:r>
      <w:r>
        <w:rPr>
          <w:sz w:val="21"/>
        </w:rPr>
        <w:t>. L'historique de versions ne les donne pas : son premier enregistrement importe un logiciel déjà écrit à près de quarante mille lignes.</w:t>
      </w:r>
    </w:p>
    <w:p>
      <w:pPr>
        <w:spacing w:after="200"/>
        <w:shd w:val="clear" w:color="auto" w:fill="F0E6CF"/>
        <w:pBdr>
          <w:left w:val="single" w:sz="24" w:space="8" w:color="8A6516"/>
        </w:pBdr>
      </w:pPr>
      <w:r>
        <w:rPr>
          <w:sz w:val="21"/>
        </w:rPr>
        <w:t>Une fois ces deux chiffres connus, le rapport entre l'effort prévu par le modèle et l'effort réellement consommé complétera cette section.</w:t>
      </w:r>
    </w:p>
    <w:p>
      <w:r>
        <w:rPr>
          <w:sz w:val="22"/>
        </w:rPr>
        <w:t>Quel que soit ce rapport, il est attendu que COCOMO surestime l'effort d'un tel projet. Le modèle chiffre le travail d'une équipe professionnelle suivant un cycle complet ; il ignore que l'essentiel de la plateforme repose sur un cadriciel, une base de données et des bibliothèques (lecture de PDF, reconnaissance de caractères, graphiques) dont les centaines de milliers de lignes ne figurent pas dans le décompte mais font le travail.</w:t>
      </w:r>
    </w:p>
    <w:p>
      <w:pPr>
        <w:pStyle w:val="Heading3"/>
      </w:pPr>
      <w:r>
        <w:t>4.4.5  Portée et limites de l'évaluation</w:t>
      </w:r>
    </w:p>
    <w:p>
      <w:pPr>
        <w:pStyle w:val="ListBullet"/>
        <w:spacing w:after="60"/>
      </w:pPr>
      <w:r>
        <w:rPr>
          <w:b/>
          <w:sz w:val="22"/>
        </w:rPr>
        <w:t>Un calibrage ancien.</w:t>
      </w:r>
      <w:r>
        <w:rPr>
          <w:sz w:val="22"/>
        </w:rPr>
        <w:t xml:space="preserve"> Les coefficients de COCOMO 81 proviennent de 63 projets des années 1970. La productivité d'une ligne de code a changé depuis, et le modèle ne le sait pas.</w:t>
      </w:r>
    </w:p>
    <w:p>
      <w:pPr>
        <w:pStyle w:val="ListBullet"/>
        <w:spacing w:after="60"/>
      </w:pPr>
      <w:r>
        <w:rPr>
          <w:b/>
          <w:sz w:val="22"/>
        </w:rPr>
        <w:t>La réutilisation n'est pas comptée.</w:t>
      </w:r>
      <w:r>
        <w:rPr>
          <w:sz w:val="22"/>
        </w:rPr>
        <w:t xml:space="preserve"> Le code des bibliothèques employées n'entre pas dans la taille, alors qu'il réduit considérablement l'effort.</w:t>
      </w:r>
    </w:p>
    <w:p>
      <w:pPr>
        <w:pStyle w:val="ListBullet"/>
        <w:spacing w:after="60"/>
      </w:pPr>
      <w:r>
        <w:rPr>
          <w:b/>
          <w:sz w:val="22"/>
        </w:rPr>
        <w:t>Toutes les lignes ne se valent pas.</w:t>
      </w:r>
      <w:r>
        <w:rPr>
          <w:sz w:val="22"/>
        </w:rPr>
        <w:t xml:space="preserve"> Le calcul hors styles corrige le cas le plus flagrant ; il en reste d'autres, comme les scripts d'exploitation, plus simples que la logique métier.</w:t>
      </w:r>
    </w:p>
    <w:p>
      <w:pPr>
        <w:pStyle w:val="ListBullet"/>
        <w:spacing w:after="60"/>
      </w:pPr>
      <w:r>
        <w:rPr>
          <w:b/>
          <w:sz w:val="22"/>
        </w:rPr>
        <w:t>Une hypothèse de coût.</w:t>
      </w:r>
      <w:r>
        <w:rPr>
          <w:sz w:val="22"/>
        </w:rPr>
        <w:t xml:space="preserve"> Le coût mensuel de 1,5 M Ar est un ordre de grandeur ; la table de sensibilité du chapitre 3 montre que l'ordre de grandeur du budget n'en dépend pas.</w:t>
      </w:r>
    </w:p>
    <w:p>
      <w:r>
        <w:rPr>
          <w:sz w:val="22"/>
        </w:rPr>
        <w:t>Ces limites ne retirent pas son intérêt à l'exercice : l'estimation a été confrontée à la réalité, l'écart a été localisé et expliqué, et la méthode d'une meilleure estimation en découle. C'est l'usage qu'on attend d'un modèle de coût.</w:t>
      </w:r>
    </w:p>
    <w:p>
      <w:r>
        <w:br w:type="page"/>
      </w:r>
    </w:p>
    <w:p>
      <w:pPr>
        <w:pStyle w:val="Heading2"/>
      </w:pPr>
      <w:r>
        <w:t>4.5  Points à améliorer</w:t>
      </w:r>
    </w:p>
    <w:p>
      <w:pPr>
        <w:pStyle w:val="Heading3"/>
      </w:pPr>
      <w:r>
        <w:t>4.5.1  Limites techniques</w:t>
      </w:r>
    </w:p>
    <w:p>
      <w:pPr>
        <w:pStyle w:val="ListBullet"/>
        <w:spacing w:after="60"/>
      </w:pPr>
      <w:r>
        <w:rPr>
          <w:b/>
          <w:sz w:val="22"/>
        </w:rPr>
        <w:t>Aucune sauvegarde automatique.</w:t>
      </w:r>
      <w:r>
        <w:rPr>
          <w:sz w:val="22"/>
        </w:rPr>
        <w:t xml:space="preserve"> C'est le manque le plus sérieux pour une mise en service : une perte de la base serait définitive. Une sauvegarde périodique et une procédure de restauration éprouvée sont un préalable à tout déploiement réel.</w:t>
      </w:r>
    </w:p>
    <w:p>
      <w:pPr>
        <w:pStyle w:val="ListBullet"/>
        <w:spacing w:after="60"/>
      </w:pPr>
      <w:r>
        <w:rPr>
          <w:b/>
          <w:sz w:val="22"/>
        </w:rPr>
        <w:t>Aucune montée en charge n'a été conduite.</w:t>
      </w:r>
      <w:r>
        <w:rPr>
          <w:sz w:val="22"/>
        </w:rPr>
        <w:t xml:space="preserve"> L'architecture est conçue pour tenir, mais rien ne l'a démontré au-delà du jeu de démonstration. Le comportement sous charge concurrente reste une hypothèse.</w:t>
      </w:r>
    </w:p>
    <w:p>
      <w:pPr>
        <w:pStyle w:val="ListBullet"/>
        <w:spacing w:after="60"/>
      </w:pPr>
      <w:r>
        <w:rPr>
          <w:b/>
          <w:sz w:val="22"/>
        </w:rPr>
        <w:t>La saisie libre subsiste sur des champs que le moteur compare.</w:t>
      </w:r>
      <w:r>
        <w:rPr>
          <w:sz w:val="22"/>
        </w:rPr>
        <w:t xml:space="preserve"> Filière, niveau académique, ville et durée sont des textes libres, quand le calcul du score les compare : « M1 », « Master 1 » et « Bac+4 » désignent la même chose et ne se rapprochent pas. Chaque variante fait chuter un score sans que personne le remarque.</w:t>
      </w:r>
    </w:p>
    <w:p>
      <w:pPr>
        <w:pStyle w:val="ListBullet"/>
        <w:spacing w:after="60"/>
      </w:pPr>
      <w:r>
        <w:rPr>
          <w:b/>
          <w:sz w:val="22"/>
        </w:rPr>
        <w:t>Le référentiel de compétences ne s'administre pas depuis l'interface.</w:t>
      </w:r>
      <w:r>
        <w:rPr>
          <w:sz w:val="22"/>
        </w:rPr>
        <w:t xml:space="preserve"> Il s'alimente par migration, ce qui suppose une intervention technique pour une tâche qui devrait être fonctionnelle.</w:t>
      </w:r>
    </w:p>
    <w:p>
      <w:pPr>
        <w:pStyle w:val="ListBullet"/>
        <w:spacing w:after="60"/>
      </w:pPr>
      <w:r>
        <w:rPr>
          <w:b/>
          <w:sz w:val="22"/>
        </w:rPr>
        <w:t>Les listes ne sont pas paginées.</w:t>
      </w:r>
      <w:r>
        <w:rPr>
          <w:sz w:val="22"/>
        </w:rPr>
        <w:t xml:space="preserve"> Acceptable sur le corpus actuel, intenable au-delà de quelques centaines d'entrées.</w:t>
      </w:r>
    </w:p>
    <w:p>
      <w:pPr>
        <w:pStyle w:val="Heading3"/>
      </w:pPr>
      <w:r>
        <w:t>4.5.2  Limites fonctionnelles</w:t>
      </w:r>
    </w:p>
    <w:p>
      <w:pPr>
        <w:pStyle w:val="ListBullet"/>
        <w:spacing w:after="60"/>
      </w:pPr>
      <w:r>
        <w:rPr>
          <w:b/>
          <w:sz w:val="22"/>
        </w:rPr>
        <w:t>L'apport du moteur de similarité reste invisible à l'utilisateur.</w:t>
      </w:r>
      <w:r>
        <w:rPr>
          <w:sz w:val="22"/>
        </w:rPr>
        <w:t xml:space="preserve"> Noyé dans un score unique, il n'apparaît nulle part comme tel. C'est aussi ce que montre la mesure : son effet est absorbé par les autres composantes.</w:t>
      </w:r>
    </w:p>
    <w:p>
      <w:pPr>
        <w:pStyle w:val="ListBullet"/>
        <w:spacing w:after="60"/>
      </w:pPr>
      <w:r>
        <w:rPr>
          <w:b/>
          <w:sz w:val="22"/>
        </w:rPr>
        <w:t>Aucune notification hors de la plateforme.</w:t>
      </w:r>
      <w:r>
        <w:rPr>
          <w:sz w:val="22"/>
        </w:rPr>
        <w:t xml:space="preserve"> Un changement de statut de candidature est porté par la messagerie interne ; un utilisateur qui ne se connecte pas ne le voit jamais. Seuls trois courriels sont émis : activation, réinitialisation et validation de compte.</w:t>
      </w:r>
    </w:p>
    <w:p>
      <w:pPr>
        <w:pStyle w:val="ListBullet"/>
        <w:spacing w:after="60"/>
      </w:pPr>
      <w:r>
        <w:rPr>
          <w:b/>
          <w:sz w:val="22"/>
        </w:rPr>
        <w:t>Le questionnaire de filtrage est à tentative unique</w:t>
      </w:r>
      <w:r>
        <w:rPr>
          <w:sz w:val="22"/>
        </w:rPr>
        <w:t>, sans que l'avertissement soit assez visible avant le démarrage du chronomètre.</w:t>
      </w:r>
    </w:p>
    <w:p>
      <w:pPr>
        <w:pStyle w:val="ListBullet"/>
        <w:spacing w:after="60"/>
      </w:pPr>
      <w:r>
        <w:rPr>
          <w:b/>
          <w:sz w:val="22"/>
        </w:rPr>
        <w:t>Aucun suivi de la convention ni de la période de stage.</w:t>
      </w:r>
      <w:r>
        <w:rPr>
          <w:sz w:val="22"/>
        </w:rPr>
        <w:t xml:space="preserve"> C'est ce qui a fait retirer la génération d'attestations : le modèle de données ne connaît pas le stage lui-même, seulement la candidature qui y mène.</w:t>
      </w:r>
    </w:p>
    <w:p>
      <w:pPr>
        <w:pStyle w:val="Heading3"/>
      </w:pPr>
      <w:r>
        <w:t>4.5.3  Limites d'usage et limites organisationnelles</w:t>
      </w:r>
    </w:p>
    <w:p>
      <w:r>
        <w:rPr>
          <w:sz w:val="22"/>
        </w:rPr>
        <w:t>Ces limites ne relèvent pas du logiciel mais des conditions de son emploi. Ce sont celles qui décideront de son adoption.</w:t>
      </w:r>
    </w:p>
    <w:p>
      <w:pPr>
        <w:pStyle w:val="ListBullet"/>
        <w:spacing w:after="60"/>
      </w:pPr>
      <w:r>
        <w:rPr>
          <w:b/>
          <w:sz w:val="22"/>
        </w:rPr>
        <w:t>La plateforme n'a pas d'usage réel.</w:t>
      </w:r>
      <w:r>
        <w:rPr>
          <w:sz w:val="22"/>
        </w:rPr>
        <w:t xml:space="preserve"> C'est la limite dont découlent la plupart des autres : sans usage, pas de vérité terrain, donc pas d'évaluation concluante de la recommandation, et pas de retour d'expérience sur l'ergonomie au-delà d'une campagne de tests de deux jours.</w:t>
      </w:r>
    </w:p>
    <w:p>
      <w:pPr>
        <w:pStyle w:val="ListBullet"/>
        <w:spacing w:after="60"/>
      </w:pPr>
      <w:r>
        <w:rPr>
          <w:b/>
          <w:sz w:val="22"/>
        </w:rPr>
        <w:t>Le démarrage à froid est un obstacle structurel.</w:t>
      </w:r>
      <w:r>
        <w:rPr>
          <w:sz w:val="22"/>
        </w:rPr>
        <w:t xml:space="preserve"> Une plateforme d'appariement ne vaut que par le nombre de ses deux côtés : sans offres, les étudiants ne viennent pas ; sans étudiants, les entreprises ne publient pas. L'entrée par les universités, qui apportent une promotion entière d'un coup, est la réponse retenue, mais elle reste à éprouver.</w:t>
      </w:r>
    </w:p>
    <w:p>
      <w:pPr>
        <w:pStyle w:val="ListBullet"/>
        <w:spacing w:after="60"/>
      </w:pPr>
      <w:r>
        <w:rPr>
          <w:b/>
          <w:sz w:val="22"/>
        </w:rPr>
        <w:t>La qualité du référentiel conditionne la qualité des recommandations.</w:t>
      </w:r>
      <w:r>
        <w:rPr>
          <w:sz w:val="22"/>
        </w:rPr>
        <w:t xml:space="preserve"> Les descriptions des compétences pèsent 60 % de la mesure de similarité. Leur rédaction est un acte documentaire, non technique : elle demande un travail éditorial que personne n'a formellement en charge.</w:t>
      </w:r>
    </w:p>
    <w:p>
      <w:pPr>
        <w:pStyle w:val="ListBullet"/>
        <w:spacing w:after="60"/>
      </w:pPr>
      <w:r>
        <w:rPr>
          <w:b/>
          <w:sz w:val="22"/>
        </w:rPr>
        <w:t>L'accès au numérique n'est pas uniforme.</w:t>
      </w:r>
      <w:r>
        <w:rPr>
          <w:sz w:val="22"/>
        </w:rPr>
        <w:t xml:space="preserve"> Une plateforme exclusivement en ligne suppose une connexion stable et un équipement, ce qui n'est pas la situation de tous les étudiants visés.</w:t>
      </w:r>
    </w:p>
    <w:p>
      <w:r>
        <w:br w:type="page"/>
      </w:r>
    </w:p>
    <w:p>
      <w:pPr>
        <w:pStyle w:val="Heading2"/>
      </w:pPr>
      <w:r>
        <w:t>4.6  Perspectives d'évolution</w:t>
      </w:r>
    </w:p>
    <w:p>
      <w:pPr>
        <w:pStyle w:val="Heading3"/>
      </w:pPr>
      <w:r>
        <w:t>4.6.1  Perspectives à court terme</w:t>
      </w:r>
    </w:p>
    <w:p>
      <w:r>
        <w:rPr>
          <w:sz w:val="22"/>
        </w:rPr>
        <w:t>Ce qui peut être entrepris immédiatement, sans décision structurante.</w:t>
      </w:r>
    </w:p>
    <w:p>
      <w:pPr>
        <w:pStyle w:val="ListBullet"/>
        <w:spacing w:after="60"/>
      </w:pPr>
      <w:r>
        <w:rPr>
          <w:b/>
          <w:sz w:val="22"/>
        </w:rPr>
        <w:t>Mettre en place la sauvegarde automatique et éprouver la restauration.</w:t>
      </w:r>
      <w:r>
        <w:rPr>
          <w:sz w:val="22"/>
        </w:rPr>
        <w:t xml:space="preserve"> Préalable à toute mise en service.</w:t>
      </w:r>
    </w:p>
    <w:p>
      <w:pPr>
        <w:pStyle w:val="ListBullet"/>
        <w:spacing w:after="60"/>
      </w:pPr>
      <w:r>
        <w:rPr>
          <w:b/>
          <w:sz w:val="22"/>
        </w:rPr>
        <w:t>Journaliser les recommandations servies et les candidatures effectives.</w:t>
      </w:r>
      <w:r>
        <w:rPr>
          <w:sz w:val="22"/>
        </w:rPr>
        <w:t xml:space="preserve"> C'est le seul chemin vers une vraie vérité terrain. Quelques mois d'usage réel vaudront mieux que n'importe quel protocole synthétique, et rendront possible une évaluation que le présent travail n'a pas pu conduire.</w:t>
      </w:r>
    </w:p>
    <w:p>
      <w:pPr>
        <w:pStyle w:val="ListBullet"/>
        <w:spacing w:after="60"/>
      </w:pPr>
      <w:r>
        <w:rPr>
          <w:b/>
          <w:sz w:val="22"/>
        </w:rPr>
        <w:t>Normaliser les derniers champs libres</w:t>
      </w:r>
      <w:r>
        <w:rPr>
          <w:sz w:val="22"/>
        </w:rPr>
        <w:t xml:space="preserve"> (filière, niveau, ville, durée) par des référentiels fermés, comme cela a déjà été fait pour les compétences.</w:t>
      </w:r>
    </w:p>
    <w:p>
      <w:pPr>
        <w:pStyle w:val="ListBullet"/>
        <w:spacing w:after="60"/>
      </w:pPr>
      <w:r>
        <w:rPr>
          <w:b/>
          <w:sz w:val="22"/>
        </w:rPr>
        <w:t>Paginer les listes</w:t>
      </w:r>
      <w:r>
        <w:rPr>
          <w:sz w:val="22"/>
        </w:rPr>
        <w:t xml:space="preserve"> et ouvrir l'administration du référentiel de compétences.</w:t>
      </w:r>
    </w:p>
    <w:p>
      <w:pPr>
        <w:pStyle w:val="Heading3"/>
      </w:pPr>
      <w:r>
        <w:t>4.6.2  Perspectives à moyen terme</w:t>
      </w:r>
    </w:p>
    <w:p>
      <w:pPr>
        <w:pStyle w:val="ListBullet"/>
        <w:spacing w:after="60"/>
      </w:pPr>
      <w:r>
        <w:rPr>
          <w:b/>
          <w:sz w:val="22"/>
        </w:rPr>
        <w:t>Repenser l'intégration du signal appris plutôt que son poids.</w:t>
      </w:r>
      <w:r>
        <w:rPr>
          <w:sz w:val="22"/>
        </w:rPr>
        <w:t xml:space="preserve"> C'est la conséquence directe du résultat d'évaluation. Plutôt que de noyer la similarité dans un score unique où elle disparaît, l'exposer comme une liste distincte, « offres proches de votre profil », la rendrait visible à l'utilisateur et mesurable séparément.</w:t>
      </w:r>
    </w:p>
    <w:p>
      <w:pPr>
        <w:pStyle w:val="ListBullet"/>
        <w:spacing w:after="60"/>
      </w:pPr>
      <w:r>
        <w:rPr>
          <w:b/>
          <w:sz w:val="22"/>
        </w:rPr>
        <w:t>Faire annoter un échantillon par des enseignants ou des recruteurs.</w:t>
      </w:r>
      <w:r>
        <w:rPr>
          <w:sz w:val="22"/>
        </w:rPr>
        <w:t xml:space="preserve"> Une vérité terrain humaine, même sur deux cents paires, changerait la nature des conclusions du présent chapitre.</w:t>
      </w:r>
    </w:p>
    <w:p>
      <w:pPr>
        <w:pStyle w:val="ListBullet"/>
        <w:spacing w:after="60"/>
      </w:pPr>
      <w:r>
        <w:rPr>
          <w:b/>
          <w:sz w:val="22"/>
        </w:rPr>
        <w:t>Élargir le corpus avant toute nouvelle mesure comparative.</w:t>
      </w:r>
      <w:r>
        <w:rPr>
          <w:sz w:val="22"/>
        </w:rPr>
        <w:t xml:space="preserve"> Les effectifs actuels interdisent de trancher.</w:t>
      </w:r>
    </w:p>
    <w:p>
      <w:pPr>
        <w:pStyle w:val="ListBullet"/>
        <w:spacing w:after="60"/>
      </w:pPr>
      <w:r>
        <w:rPr>
          <w:b/>
          <w:sz w:val="22"/>
        </w:rPr>
        <w:t>Suivre le stage lui-même</w:t>
      </w:r>
      <w:r>
        <w:rPr>
          <w:sz w:val="22"/>
        </w:rPr>
        <w:t>, et non plus seulement la candidature : convention, période effective, encadrant, évaluation de fin de stage. C'est la condition de la génération d'attestations et du calcul d'un vrai taux de placement.</w:t>
      </w:r>
    </w:p>
    <w:p>
      <w:pPr>
        <w:pStyle w:val="ListBullet"/>
        <w:spacing w:after="60"/>
      </w:pPr>
      <w:r>
        <w:rPr>
          <w:b/>
          <w:sz w:val="22"/>
        </w:rPr>
        <w:t>Ouvrir un espace d'entraide étiqueté par compétences.</w:t>
      </w:r>
      <w:r>
        <w:rPr>
          <w:sz w:val="22"/>
        </w:rPr>
        <w:t xml:space="preserve"> Les compétences du référentiel servent déjà à l'appariement ; elles peuvent aussi structurer un forum, en dirigeant une question vers ceux qui possèdent la compétence concernée plutôt que de la laisser dans un fil chronologique.</w:t>
      </w:r>
    </w:p>
    <w:p>
      <w:pPr>
        <w:pStyle w:val="Heading3"/>
      </w:pPr>
      <w:r>
        <w:t>4.6.3  Perspectives à long terme</w:t>
      </w:r>
    </w:p>
    <w:p>
      <w:pPr>
        <w:pStyle w:val="ListBullet"/>
        <w:spacing w:after="60"/>
      </w:pPr>
      <w:r>
        <w:rPr>
          <w:b/>
          <w:sz w:val="22"/>
        </w:rPr>
        <w:t>Un modèle économique qui ne touche pas au classement.</w:t>
      </w:r>
      <w:r>
        <w:rPr>
          <w:sz w:val="22"/>
        </w:rPr>
        <w:t xml:space="preserve"> Une visibilité payante est envisageable (bandeaux, mise en avant d'un profil d'entreprise) mais </w:t>
      </w:r>
      <w:r>
        <w:rPr>
          <w:b/>
          <w:sz w:val="22"/>
        </w:rPr>
        <w:t>jamais dans les résultats classés</w:t>
      </w:r>
      <w:r>
        <w:rPr>
          <w:sz w:val="22"/>
        </w:rPr>
        <w:t>. Un classement acheté ne se mesure plus, et détruirait la contribution scientifique du travail. Cette frontière est une décision de conception, pas une clause commerciale.</w:t>
      </w:r>
    </w:p>
    <w:p>
      <w:pPr>
        <w:pStyle w:val="ListBullet"/>
        <w:spacing w:after="60"/>
      </w:pPr>
      <w:r>
        <w:rPr>
          <w:b/>
          <w:sz w:val="22"/>
        </w:rPr>
        <w:t>Le passage à un signal appris de plus grande capacité</w:t>
      </w:r>
      <w:r>
        <w:rPr>
          <w:sz w:val="22"/>
        </w:rPr>
        <w:t>, lorsque le volume le justifiera. La méthode actuelle par dénombrement a été choisie pour son explicabilité et sa reproductibilité sur un petit corpus. À l'échelle de plusieurs milliers d'offres, le rapport entre la description rédigée et la co-occurrence observée s'inversera de lui-même, et ce basculement est en soi un résultat à documenter.</w:t>
      </w:r>
    </w:p>
    <w:p>
      <w:pPr>
        <w:pStyle w:val="ListBullet"/>
        <w:spacing w:after="60"/>
      </w:pPr>
      <w:r>
        <w:rPr>
          <w:b/>
          <w:sz w:val="22"/>
        </w:rPr>
        <w:t>L'extension à l'emploi, au-delà du stage</w:t>
      </w:r>
      <w:r>
        <w:rPr>
          <w:sz w:val="22"/>
        </w:rPr>
        <w:t>, une fois la boucle stage éprouvée : le modèle de données et le moteur d'appariement n'en dépendent pas.</w:t>
      </w:r>
    </w:p>
    <w:p>
      <w:pPr>
        <w:pStyle w:val="ListBullet"/>
        <w:spacing w:after="60"/>
      </w:pPr>
      <w:r>
        <w:rPr>
          <w:b/>
          <w:sz w:val="22"/>
        </w:rPr>
        <w:t>L'interopérabilité avec les systèmes de scolarité des établissements</w:t>
      </w:r>
      <w:r>
        <w:rPr>
          <w:sz w:val="22"/>
        </w:rPr>
        <w:t>, pour que le rattachement des étudiants et la constitution des promotions cessent d'être des saisies.</w:t>
      </w:r>
    </w:p>
    <w:p>
      <w:r>
        <w:br w:type="page"/>
      </w:r>
    </w:p>
    <w:p>
      <w:pPr>
        <w:pStyle w:val="Heading2"/>
      </w:pPr>
      <w:r>
        <w:t>4.7  Impact social et économique</w:t>
      </w:r>
    </w:p>
    <w:p>
      <w:pPr>
        <w:spacing w:after="240"/>
      </w:pPr>
      <w:r>
        <w:rPr>
          <w:color w:val="565B6E"/>
          <w:sz w:val="20"/>
        </w:rPr>
        <w:t xml:space="preserve">Les effets décrits dans cette section sont des effets </w:t>
      </w:r>
      <w:r>
        <w:rPr>
          <w:b/>
          <w:color w:val="565B6E"/>
          <w:sz w:val="20"/>
        </w:rPr>
        <w:t>attendus</w:t>
      </w:r>
      <w:r>
        <w:rPr>
          <w:color w:val="565B6E"/>
          <w:sz w:val="20"/>
        </w:rPr>
        <w:t>, déduits de ce que la plateforme permet. Ils n'ont pas été mesurés : la plateforme n'a pas encore d'usage réel, et aucune donnée d'impact n'existe à ce jour.</w:t>
      </w:r>
    </w:p>
    <w:p>
      <w:pPr>
        <w:pStyle w:val="Heading3"/>
      </w:pPr>
      <w:r>
        <w:t>4.7.1  Impact sur l'insertion professionnelle des étudiants</w:t>
      </w:r>
    </w:p>
    <w:p>
      <w:r>
        <w:rPr>
          <w:b/>
          <w:sz w:val="22"/>
        </w:rPr>
        <w:t>Le premier effet attendu est un effet de visibilité.</w:t>
      </w:r>
      <w:r>
        <w:rPr>
          <w:sz w:val="22"/>
        </w:rPr>
        <w:t xml:space="preserve"> La recherche de stage repose largement sur le réseau personnel : famille, connaissances, anciens de la promotion. Ce mécanisme reproduit les inégalités d'origine : un étudiant sans réseau ne compense pas par le mérite. Une plateforme où les offres sont publiques et les profils consultables substitue à ce filtre social un filtre de compétences.</w:t>
      </w:r>
    </w:p>
    <w:p>
      <w:r>
        <w:rPr>
          <w:b/>
          <w:sz w:val="22"/>
        </w:rPr>
        <w:t>Le deuxième effet tient à la mesure de similarité</w:t>
      </w:r>
      <w:r>
        <w:rPr>
          <w:sz w:val="22"/>
        </w:rPr>
        <w:t>, et il est plus spécifique au travail conduit. Un étudiant maîtrisant un outil proche de celui qu'une offre exige obtenait zéro avec une comparaison par identifiant : il ne voyait pas l'offre, et l'entreprise ne le voyait pas. Créditer une compétence approchante au prorata de sa proximité élargit mécaniquement l'ensemble des offres accessibles à un profil donné.</w:t>
      </w:r>
    </w:p>
    <w:p>
      <w:r>
        <w:rPr>
          <w:b/>
          <w:sz w:val="22"/>
        </w:rPr>
        <w:t>Le troisième effet est un effet d'orientation.</w:t>
      </w:r>
      <w:r>
        <w:rPr>
          <w:sz w:val="22"/>
        </w:rPr>
        <w:t xml:space="preserve"> Le conseiller de compétences indique à l'étudiant lesquelles acquérir en priorité, en recalculant toutes les offres comme s'il les possédait déjà. L'information délivrée n'est pas un conseil général mais un raisonnement sur sa situation : </w:t>
      </w:r>
      <w:r>
        <w:rPr>
          <w:i/>
          <w:sz w:val="22"/>
        </w:rPr>
        <w:t>cette compétence-ci vous ouvrirait ces offres-là</w:t>
      </w:r>
      <w:r>
        <w:rPr>
          <w:sz w:val="22"/>
        </w:rPr>
        <w:t>. C'est une aide à la décision de formation, adossée au marché local réellement observé sur la plateforme.</w:t>
      </w:r>
    </w:p>
    <w:p>
      <w:r>
        <w:rPr>
          <w:b/>
          <w:sz w:val="22"/>
        </w:rPr>
        <w:t>Une réserve d'honnêteté doit accompagner ces trois effets.</w:t>
      </w:r>
      <w:r>
        <w:rPr>
          <w:sz w:val="22"/>
        </w:rPr>
        <w:t xml:space="preserve"> Ils supposent que la plateforme atteigne une masse critique d'offres. En deçà, elle ne fait que déplacer le problème : un étudiant sans réseau restera un étudiant sans offres.</w:t>
      </w:r>
    </w:p>
    <w:p>
      <w:pPr>
        <w:pStyle w:val="Heading3"/>
      </w:pPr>
      <w:r>
        <w:t>4.7.2  Impact sur les universités</w:t>
      </w:r>
    </w:p>
    <w:p>
      <w:r>
        <w:rPr>
          <w:b/>
          <w:sz w:val="22"/>
        </w:rPr>
        <w:t>Les établissements gagnent un instrument de suivi qu'ils n'ont généralement pas.</w:t>
      </w:r>
      <w:r>
        <w:rPr>
          <w:sz w:val="22"/>
        </w:rPr>
        <w:t xml:space="preserve"> Le placement en stage de leurs étudiants est, dans beaucoup d'établissements, une information reconstituée après coup et de façon incomplète. Le tableau de bord universitaire fournit les effectifs rattachés, les demandes en attente, les candidatures déposées et les placements obtenus, pour la promotion en cours, sans enquête rétrospective.</w:t>
      </w:r>
    </w:p>
    <w:p>
      <w:r>
        <w:rPr>
          <w:b/>
          <w:sz w:val="22"/>
        </w:rPr>
        <w:t>L'annonce de cohorte inverse la démarche de placement.</w:t>
      </w:r>
      <w:r>
        <w:rPr>
          <w:sz w:val="22"/>
        </w:rPr>
        <w:t xml:space="preserve"> Plutôt que de laisser chaque étudiant démarcher séparément, l'établissement présente une promotion entière aux entreprises : filière, niveau, domaines recherchés, période de disponibilité. Pour une entreprise qui cherche trois stagiaires du même profil, c'est un interlocuteur unique au lieu de trente candidatures éparses.</w:t>
      </w:r>
    </w:p>
    <w:p>
      <w:r>
        <w:rPr>
          <w:b/>
          <w:sz w:val="22"/>
        </w:rPr>
        <w:t>Un effet second mérite d'être signalé.</w:t>
      </w:r>
      <w:r>
        <w:rPr>
          <w:sz w:val="22"/>
        </w:rPr>
        <w:t xml:space="preserve"> Les compétences déclarées par les étudiants d'une promotion, rapprochées de celles que les offres exigent, constituent une information sur l'écart entre la formation dispensée et le marché. Cette information n'est pas produite aujourd'hui par la plateforme, mais les données nécessaires y sont déjà : c'est une perspective de valeur pour les établissements.</w:t>
      </w:r>
    </w:p>
    <w:p>
      <w:pPr>
        <w:pStyle w:val="Heading3"/>
      </w:pPr>
      <w:r>
        <w:t>4.7.3  Impact économique</w:t>
      </w:r>
    </w:p>
    <w:p>
      <w:r>
        <w:rPr>
          <w:b/>
          <w:sz w:val="22"/>
        </w:rPr>
        <w:t>Pour les entreprises, l'effet attendu est une réduction du coût de recrutement d'un stagiaire.</w:t>
      </w:r>
      <w:r>
        <w:rPr>
          <w:sz w:val="22"/>
        </w:rPr>
        <w:t xml:space="preserve"> Ce coût est principalement un coût de tri : lire des candidatures qui ne correspondent pas. Deux mécanismes le réduisent : le questionnaire de filtrage, qui écarte en amont, et le classement des candidatures reçues par pertinence plutôt que par date d'arrivée, qui met les dossiers pertinents en tête.</w:t>
      </w:r>
    </w:p>
    <w:p>
      <w:r>
        <w:rPr>
          <w:b/>
          <w:sz w:val="22"/>
        </w:rPr>
        <w:t>Le second effet est un effet d'accès pour les petites structures.</w:t>
      </w:r>
      <w:r>
        <w:rPr>
          <w:sz w:val="22"/>
        </w:rPr>
        <w:t xml:space="preserve"> Une grande entreprise dispose d'un service de recrutement ; une petite n'a ni le temps ni les moyens de conduire une campagne. Une publication gratuite, assortie d'une présélection automatique, met les deux sur un pied plus égal.</w:t>
      </w:r>
    </w:p>
    <w:p>
      <w:r>
        <w:rPr>
          <w:b/>
          <w:sz w:val="22"/>
        </w:rPr>
        <w:t>Le modèle économique envisagé obéit à une contrainte non négociable : l'argent n'entre jamais dans le score.</w:t>
      </w:r>
      <w:r>
        <w:rPr>
          <w:sz w:val="22"/>
        </w:rPr>
        <w:t xml:space="preserve"> Une visibilité payante peut exister sous forme de bandeaux ou de mise en avant d'un profil, hors des résultats classés. Un classement acheté cesserait d'être mesurable et ruinerait la valeur scientifique du travail. Cette frontière est posée dès la conception, et non laissée à un arbitrage ultérieur.</w:t>
      </w:r>
    </w:p>
    <w:p>
      <w:r>
        <w:rPr>
          <w:b/>
          <w:sz w:val="22"/>
        </w:rPr>
        <w:t>À l'échelle collective</w:t>
      </w:r>
      <w:r>
        <w:rPr>
          <w:sz w:val="22"/>
        </w:rPr>
        <w:t>, le gain attendu est celui d'une meilleure allocation : des stages pourvus par des profils adaptés, des étudiants formés sur des compétences effectivement demandées. Ce gain est réel mais non chiffrable en l'état, et il serait malhonnête de l'avancer autrement que comme une hypothèse à vérifier par l'usage.</w:t>
      </w:r>
    </w:p>
    <w:p>
      <w:r>
        <w:br w:type="page"/>
      </w:r>
    </w:p>
    <w:p>
      <w:pPr>
        <w:pStyle w:val="Heading2"/>
      </w:pPr>
      <w:r>
        <w:t>4.8  Conclusion</w:t>
      </w:r>
    </w:p>
    <w:p>
      <w:r>
        <w:rPr>
          <w:sz w:val="22"/>
        </w:rPr>
        <w:t>Ce chapitre a rendu compte d'une application fonctionnelle et d'une évaluation qui n'a pas confirmé ce que le projet espérait établir.</w:t>
      </w:r>
    </w:p>
    <w:p>
      <w:r>
        <w:rPr>
          <w:b/>
          <w:sz w:val="22"/>
        </w:rPr>
        <w:t>Du côté du logiciel, l'objectif est atteint.</w:t>
      </w:r>
      <w:r>
        <w:rPr>
          <w:sz w:val="22"/>
        </w:rPr>
        <w:t xml:space="preserve"> Les quatre modules sont complets, les sept exigences non fonctionnelles sont satisfaites (à l'exception de la scalabilité, non éprouvée) et une campagne de mise en situation réelle a conduit à 16 corrections. Deux besoins ont été retirés du périmètre plutôt que réalisés à moitié, et le périmètre s'est élargi là où la spécification initiale était la plus incomplète.</w:t>
      </w:r>
    </w:p>
    <w:p>
      <w:r>
        <w:rPr>
          <w:b/>
          <w:sz w:val="22"/>
        </w:rPr>
        <w:t>Du côté de la mesure, le résultat est plus nuancé, et c'est le principal apport de ce chapitre.</w:t>
      </w:r>
      <w:r>
        <w:rPr>
          <w:sz w:val="22"/>
        </w:rPr>
        <w:t xml:space="preserve"> La chaîne d'extraction des curriculum vitae atteint une F-mesure de 96,7 % sur un corpus à vérité terrain exacte. La mesure de similarité entre compétences, elle, double la précision au premier rang lorsqu'on l'isole, et voit cet effet s'annuler une fois intégrée à un score composite où les compétences ne pèsent que 40 %. Ce résultat est rapporté tel quel, sans réglage a posteriori des pondérations qui l'aurait rendu flatteur et faux.</w:t>
      </w:r>
    </w:p>
    <w:p>
      <w:r>
        <w:rPr>
          <w:b/>
          <w:sz w:val="22"/>
        </w:rPr>
        <w:t>Sept anomalies ont été découvertes par la mesure, dont cinq étaient silencieuses</w:t>
      </w:r>
      <w:r>
        <w:rPr>
          <w:sz w:val="22"/>
        </w:rPr>
        <w:t xml:space="preserve"> : elles produisaient un résultat plausible mais faux, sans lever d'exception ni laisser de trace. L'une d'elles portait sur la vérité terrain elle-même. C'est l'enseignement le plus transposable de ce travail : un système qui ne se mesure pas ne se corrige pas, faute de donner le moindre signe de ce qui ne va pas.</w:t>
      </w:r>
    </w:p>
    <w:p>
      <w:r>
        <w:rPr>
          <w:b/>
          <w:sz w:val="22"/>
        </w:rPr>
        <w:t>La question ouverte vaut mieux que la conclusion espérée.</w:t>
      </w:r>
      <w:r>
        <w:rPr>
          <w:sz w:val="22"/>
        </w:rPr>
        <w:t xml:space="preserve"> Comment intégrer un signal appris à côté de critères administratifs qui classent déjà correctement, sans que le premier soit absorbé par les seconds ? Le présent travail n'y répond pas. Il établit que la question se pose, il en donne la mesure, et il indique la voie par laquelle y répondre : exposer le signal appris séparément plutôt que le fondre dans un score unique, et attendre d'un usage réel la vérité terrain qui manque.</w:t>
      </w:r>
    </w:p>
    <w:p>
      <w:r>
        <w:br w:type="page"/>
      </w:r>
    </w:p>
    <w:p>
      <w:pPr>
        <w:pStyle w:val="Heading2"/>
      </w:pPr>
      <w:r>
        <w:t>Note de rédaction</w:t>
      </w:r>
    </w:p>
    <w:p>
      <w:r>
        <w:rPr>
          <w:b/>
          <w:sz w:val="22"/>
        </w:rPr>
        <w:t>Une correction au plan fourni.</w:t>
      </w:r>
      <w:r>
        <w:rPr>
          <w:sz w:val="22"/>
        </w:rPr>
        <w:t xml:space="preserve"> Le plan numérotait les sous-sections de 4.2 ainsi : 4.2.1, 4.2.2, puis 4.2.4. Le saut a été traité comme une coquille et la troisième sous-section est numérotée </w:t>
      </w:r>
      <w:r>
        <w:rPr>
          <w:b/>
          <w:sz w:val="22"/>
        </w:rPr>
        <w:t>4.2.3</w:t>
      </w:r>
      <w:r>
        <w:rPr>
          <w:sz w:val="22"/>
        </w:rPr>
        <w:t>. Si le saut était intentionnel, parce qu'une sous-section 4.2.3 est prévue ailleurs, la numérotation est à rétablir.</w:t>
      </w:r>
    </w:p>
    <w:p>
      <w:r>
        <w:rPr>
          <w:b/>
          <w:sz w:val="22"/>
        </w:rPr>
        <w:t>Provenance des chiffres.</w:t>
      </w:r>
      <w:r>
        <w:rPr>
          <w:sz w:val="22"/>
        </w:rPr>
        <w:t xml:space="preserve"> Tous proviennent des documents de mesure du projet et sont reproductibles : protocoles d'ablation et extraction de CV depuis </w:t>
      </w:r>
      <w:r>
        <w:rPr>
          <w:rFonts w:ascii="Consolas" w:hAnsi="Consolas"/>
          <w:sz w:val="20"/>
        </w:rPr>
        <w:t>MD/6 - EVALUATION.md</w:t>
      </w:r>
      <w:r>
        <w:rPr>
          <w:sz w:val="22"/>
        </w:rPr>
        <w:t xml:space="preserve">, volumétrie et anomalies depuis </w:t>
      </w:r>
      <w:r>
        <w:rPr>
          <w:rFonts w:ascii="Consolas" w:hAnsi="Consolas"/>
          <w:sz w:val="20"/>
        </w:rPr>
        <w:t>MD/9 - BILAN.md</w:t>
      </w:r>
      <w:r>
        <w:rPr>
          <w:sz w:val="22"/>
        </w:rPr>
        <w:t xml:space="preserve">, campagne de tests depuis </w:t>
      </w:r>
      <w:r>
        <w:rPr>
          <w:rFonts w:ascii="Consolas" w:hAnsi="Consolas"/>
          <w:sz w:val="20"/>
        </w:rPr>
        <w:t>MD/10 - REMARQUES-UTILISATEUR.md</w:t>
      </w:r>
      <w:r>
        <w:rPr>
          <w:sz w:val="22"/>
        </w:rPr>
        <w:t xml:space="preserve">, corpus du moteur depuis </w:t>
      </w:r>
      <w:r>
        <w:rPr>
          <w:rFonts w:ascii="Consolas" w:hAnsi="Consolas"/>
          <w:sz w:val="20"/>
        </w:rPr>
        <w:t>MD/4 - MOTEUR-COOCCURRENCE.md</w:t>
      </w:r>
      <w:r>
        <w:rPr>
          <w:sz w:val="22"/>
        </w:rPr>
        <w:t>. Trois scripts les régénèrent :</w:t>
      </w:r>
    </w:p>
    <w:p>
      <w:pPr>
        <w:spacing w:before="200" w:after="40"/>
        <w:ind w:left="567"/>
        <w:shd w:val="clear" w:color="auto" w:fill="F4F5F9"/>
        <w:pBdr>
          <w:left w:val="single" w:sz="18" w:space="8" w:color="31356E"/>
        </w:pBdr>
      </w:pPr>
      <w:r>
        <w:rPr>
          <w:rFonts w:ascii="Cambria Math" w:hAnsi="Cambria Math"/>
          <w:sz w:val="23"/>
        </w:rPr>
        <w:t>node scripts/mesures/evaluer-recommandations.mjs    protocoles A à D</w:t>
      </w:r>
    </w:p>
    <w:p>
      <w:pPr>
        <w:spacing w:before="40" w:after="40"/>
        <w:ind w:left="567"/>
        <w:shd w:val="clear" w:color="auto" w:fill="F4F5F9"/>
        <w:pBdr>
          <w:left w:val="single" w:sz="18" w:space="8" w:color="31356E"/>
        </w:pBdr>
      </w:pPr>
      <w:r>
        <w:rPr>
          <w:rFonts w:ascii="Cambria Math" w:hAnsi="Cambria Math"/>
          <w:sz w:val="23"/>
        </w:rPr>
        <w:t>node scripts/mesures/test-ingestion-cv.mjs          précision / rappel / F1</w:t>
      </w:r>
    </w:p>
    <w:p>
      <w:pPr>
        <w:spacing w:before="40" w:after="200"/>
        <w:ind w:left="567"/>
        <w:shd w:val="clear" w:color="auto" w:fill="F4F5F9"/>
        <w:pBdr>
          <w:left w:val="single" w:sz="18" w:space="8" w:color="31356E"/>
        </w:pBdr>
      </w:pPr>
      <w:r>
        <w:rPr>
          <w:rFonts w:ascii="Cambria Math" w:hAnsi="Cambria Math"/>
          <w:sz w:val="23"/>
        </w:rPr>
        <w:t>node scripts/mesures/test-cooccurrence.mjs          matrice de similarité</w:t>
      </w:r>
    </w:p>
    <w:p>
      <w:r>
        <w:rPr>
          <w:b/>
          <w:sz w:val="22"/>
        </w:rPr>
        <w:t>Ce que ce chapitre ne contient pas.</w:t>
      </w:r>
      <w:r>
        <w:rPr>
          <w:sz w:val="22"/>
        </w:rPr>
        <w:t xml:space="preserve"> Les figures et captures d'écran, qui relèvent du chapitre 3 ; les transitions rédactionnelles vers les chapitres voisins ; et toute donnée d'impact mesurée, qui n'existe pas : la section 4.7 énonce des effets attendus et le dit explicitement.</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517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51723"/>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31356E"/>
      <w:sz w:val="30"/>
      <w:szCs w:val="26"/>
    </w:rPr>
  </w:style>
  <w:style w:type="paragraph" w:styleId="Heading3">
    <w:name w:val="heading 3"/>
    <w:basedOn w:val="Normal"/>
    <w:next w:val="Normal"/>
    <w:link w:val="Heading3Char"/>
    <w:uiPriority w:val="9"/>
    <w:unhideWhenUsed/>
    <w:qFormat/>
    <w:rsid w:val="00FC693F"/>
    <w:pPr>
      <w:keepNext/>
      <w:keepLines/>
      <w:spacing w:before="252" w:after="120"/>
      <w:outlineLvl w:val="2"/>
    </w:pPr>
    <w:rPr>
      <w:rFonts w:asciiTheme="majorHAnsi" w:eastAsiaTheme="majorEastAsia" w:hAnsiTheme="majorHAnsi" w:cstheme="majorBidi" w:ascii="Calibri" w:hAnsi="Calibri"/>
      <w:b/>
      <w:bCs/>
      <w:color w:val="3135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