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 moteur de similarité entre compétences</w:t>
      </w:r>
    </w:p>
    <w:p>
      <w:pPr>
        <w:spacing w:after="320"/>
      </w:pPr>
      <w:r>
        <w:rPr>
          <w:color w:val="565B6E"/>
          <w:sz w:val="26"/>
        </w:rPr>
        <w:t>Méthode, formules et application chiffrée</w:t>
      </w:r>
    </w:p>
    <w:p>
      <w:r>
        <w:rPr>
          <w:sz w:val="22"/>
        </w:rPr>
        <w:t xml:space="preserve">La plateforme comparait les compétences </w:t>
      </w:r>
      <w:r>
        <w:rPr>
          <w:b/>
          <w:sz w:val="22"/>
        </w:rPr>
        <w:t>par identifiant exact</w:t>
      </w:r>
      <w:r>
        <w:rPr>
          <w:sz w:val="22"/>
        </w:rPr>
        <w:t>. Un étudiant maîtrisant React obtenait zéro sur une offre exigeant Vue.js, alors qu'un recruteur y verrait une quasi-correspondance. Le système ne disposait d'aucune notion de proximité entre compétences, et rien dans les données ne la déclarait explicitement.</w:t>
      </w:r>
    </w:p>
    <w:p>
      <w:r>
        <w:rPr>
          <w:sz w:val="22"/>
        </w:rPr>
        <w:t xml:space="preserve">La méthode retenue construit cette proximité par </w:t>
      </w:r>
      <w:r>
        <w:rPr>
          <w:b/>
          <w:sz w:val="22"/>
        </w:rPr>
        <w:t>dénombrement</w:t>
      </w:r>
      <w:r>
        <w:rPr>
          <w:sz w:val="22"/>
        </w:rPr>
        <w:t>, sans modèle de langue ni apprentissage : trois sources de signal indépendantes, chacune couvrant la faiblesse des deux autres, réunies par une somme pondérée et un seuil. Chaque score se démontre à la main.</w:t>
      </w:r>
    </w:p>
    <w:p>
      <w:pPr>
        <w:pStyle w:val="Heading2"/>
      </w:pPr>
      <w:r>
        <w:t>Notation et constantes</w:t>
      </w:r>
    </w:p>
    <w:p>
      <w:r>
        <w:rPr>
          <w:sz w:val="22"/>
        </w:rPr>
        <w:t xml:space="preserve">Soit </w:t>
      </w:r>
      <w:r>
        <w:rPr>
          <w:rFonts w:ascii="Consolas" w:hAnsi="Consolas"/>
          <w:sz w:val="20"/>
        </w:rPr>
        <w:t>𝒞</w:t>
      </w:r>
      <w:r>
        <w:rPr>
          <w:sz w:val="22"/>
        </w:rPr>
        <w:t xml:space="preserve"> le référentiel des compétences, de cardinal </w:t>
      </w:r>
      <w:r>
        <w:rPr>
          <w:rFonts w:ascii="Consolas" w:hAnsi="Consolas"/>
          <w:sz w:val="20"/>
        </w:rPr>
        <w:t>N = 56</w:t>
      </w:r>
      <w:r>
        <w:rPr>
          <w:sz w:val="22"/>
        </w:rPr>
        <w:t xml:space="preserve">. Pour deux compétences </w:t>
      </w:r>
      <w:r>
        <w:rPr>
          <w:rFonts w:ascii="Consolas" w:hAnsi="Consolas"/>
          <w:sz w:val="20"/>
        </w:rPr>
        <w:t>a, b ∈ 𝒞</w:t>
      </w:r>
      <w:r>
        <w:rPr>
          <w:sz w:val="22"/>
        </w:rPr>
        <w:t xml:space="preserve">, on construit une similarité </w:t>
      </w:r>
      <w:r>
        <w:rPr>
          <w:rFonts w:ascii="Consolas" w:hAnsi="Consolas"/>
          <w:sz w:val="20"/>
        </w:rPr>
        <w:t>sim(a, b) ∈ [0, 1]</w:t>
      </w:r>
      <w:r>
        <w:rPr>
          <w:sz w:val="22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247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Constante</w:t>
            </w:r>
          </w:p>
        </w:tc>
        <w:tc>
          <w:tcPr>
            <w:tcW w:type="dxa" w:w="1020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Valeur</w:t>
            </w:r>
          </w:p>
        </w:tc>
        <w:tc>
          <w:tcPr>
            <w:tcW w:type="dxa" w:w="4252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Rôle</w:t>
            </w:r>
          </w:p>
        </w:tc>
        <w:tc>
          <w:tcPr>
            <w:tcW w:type="dxa" w:w="1984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Intervient en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9"/>
              </w:rPr>
              <w:t>N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9"/>
              </w:rPr>
              <w:t>56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9"/>
              </w:rPr>
              <w:t>taille du référentiel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9"/>
              </w:rPr>
              <w:t>K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9"/>
              </w:rPr>
              <w:t>constante d'amortissement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Source 3 · Étape 5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9"/>
              </w:rPr>
              <w:t>λ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9"/>
              </w:rPr>
              <w:t>0,8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9"/>
              </w:rPr>
              <w:t>force de la pénalité de complémentarité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Source 3 · Étape 6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9"/>
              </w:rPr>
              <w:t>ω_txt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9"/>
              </w:rPr>
              <w:t>0,60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9"/>
              </w:rPr>
              <w:t>poids de la description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Assemblage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9"/>
              </w:rPr>
              <w:t>ω_cat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9"/>
              </w:rPr>
              <w:t>0,25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9"/>
              </w:rPr>
              <w:t>poids de la catégorie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Assemblage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9"/>
              </w:rPr>
              <w:t>ω_obs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9"/>
              </w:rPr>
              <w:t>0,15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9"/>
              </w:rPr>
              <w:t xml:space="preserve">poids des fréquentations — </w:t>
            </w:r>
            <w:r>
              <w:rPr>
                <w:b/>
                <w:sz w:val="19"/>
              </w:rPr>
              <w:t>déduit</w:t>
            </w:r>
            <w:r>
              <w:rPr>
                <w:sz w:val="19"/>
              </w:rPr>
              <w:t xml:space="preserve"> : 1 − ω_txt − ω_cat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Assemblage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9"/>
              </w:rPr>
              <w:t>τ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9"/>
              </w:rPr>
              <w:t>0,40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9"/>
              </w:rPr>
              <w:t>seuil de rejet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Assemblage · Étape 2</w:t>
            </w:r>
          </w:p>
        </w:tc>
      </w:tr>
    </w:tbl>
    <w:p>
      <w:pPr>
        <w:spacing w:after="40"/>
      </w:pPr>
    </w:p>
    <w:p>
      <w:pPr>
        <w:spacing w:before="0" w:after="240"/>
      </w:pPr>
      <w:r>
        <w:rPr>
          <w:color w:val="565B6E"/>
          <w:sz w:val="18"/>
        </w:rPr>
        <w:t>Le poids des fréquentations n'est pas une constante déclarée : le code l'obtient par différence. La normalisation des trois poids est donc structurelle, non accidentelle.</w:t>
      </w:r>
    </w:p>
    <w:p>
      <w:r>
        <w:br w:type="page"/>
      </w:r>
    </w:p>
    <w:p>
      <w:pPr>
        <w:pStyle w:val="Heading2"/>
      </w:pPr>
      <w:r>
        <w:t>Source 1 — La description du référentiel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1 · </w:t>
      </w:r>
      <w:r>
        <w:rPr>
          <w:b/>
          <w:sz w:val="23"/>
        </w:rPr>
        <w:t>Récupérer les descriptions</w:t>
      </w:r>
    </w:p>
    <w:p>
      <w:r>
        <w:rPr>
          <w:sz w:val="22"/>
        </w:rPr>
        <w:t xml:space="preserve">Chaque compétence porte une description rédigée d'une ligne, notée </w:t>
      </w:r>
      <w:r>
        <w:rPr>
          <w:rFonts w:ascii="Consolas" w:hAnsi="Consolas"/>
          <w:sz w:val="20"/>
        </w:rPr>
        <w:t>d(a)</w:t>
      </w:r>
      <w:r>
        <w:rPr>
          <w:sz w:val="22"/>
        </w:rPr>
        <w:t xml:space="preserve">. L'ensemble forme le corpus documentaire </w:t>
      </w:r>
      <w:r>
        <w:rPr>
          <w:rFonts w:ascii="Consolas" w:hAnsi="Consolas"/>
          <w:sz w:val="20"/>
        </w:rPr>
        <w:t>D</w:t>
      </w:r>
      <w:r>
        <w:rPr>
          <w:sz w:val="22"/>
        </w:rPr>
        <w:t xml:space="preserve">, avec </w:t>
      </w:r>
      <w:r>
        <w:rPr>
          <w:rFonts w:ascii="Consolas" w:hAnsi="Consolas"/>
          <w:sz w:val="20"/>
        </w:rPr>
        <w:t>|D| = 56</w:t>
      </w:r>
      <w:r>
        <w:rPr>
          <w:sz w:val="22"/>
        </w:rPr>
        <w:t xml:space="preserve">. Ce sont des </w:t>
      </w:r>
      <w:r>
        <w:rPr>
          <w:b/>
          <w:sz w:val="22"/>
        </w:rPr>
        <w:t>données de référence rédigées</w:t>
      </w:r>
      <w:r>
        <w:rPr>
          <w:sz w:val="22"/>
        </w:rPr>
        <w:t>, au même titre qu'une taxonomie de filières ; la similarité, elle, reste calculée par comptage.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417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Compétence</w:t>
            </w:r>
          </w:p>
        </w:tc>
        <w:tc>
          <w:tcPr>
            <w:tcW w:type="dxa" w:w="7087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React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Bibliothèque JavaScript de composants pour construire des interfaces web côté navigateur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Vue.js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Framework JavaScript de composants pour construire des interfaces web côté navigateur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Git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Système de gestion des versions du code source et de collaboration entre développeurs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SQL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Langage d'interrogation et de manipulation de bases de données relationnelles</w:t>
            </w:r>
          </w:p>
        </w:tc>
      </w:tr>
    </w:tbl>
    <w:p>
      <w:pPr>
        <w:spacing w:after="40"/>
      </w:pPr>
    </w:p>
    <w:p>
      <w:pPr>
        <w:spacing w:before="0" w:after="240"/>
      </w:pPr>
      <w:r>
        <w:rPr>
          <w:color w:val="565B6E"/>
          <w:sz w:val="18"/>
        </w:rPr>
        <w:t>Le vocabulaire est normalisé à dessein : deux compétences interchangeables partagent leurs termes structurants — le rôle, la technologie de base, l'objet manipulé — et deux compétences seulement complémentaires n'en partagent aucun.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2 · </w:t>
      </w:r>
      <w:r>
        <w:rPr>
          <w:b/>
          <w:sz w:val="23"/>
        </w:rPr>
        <w:t>Découper chaque description en termes utiles</w:t>
      </w:r>
    </w:p>
    <w:p>
      <w:r>
        <w:rPr>
          <w:sz w:val="22"/>
        </w:rPr>
        <w:t xml:space="preserve">Cinq opérations, appliquées dans cet ordre. </w:t>
      </w:r>
      <w:r>
        <w:rPr>
          <w:b/>
          <w:sz w:val="22"/>
        </w:rPr>
        <w:t>L'ordre importe</w:t>
      </w:r>
      <w:r>
        <w:rPr>
          <w:sz w:val="22"/>
        </w:rPr>
        <w:t xml:space="preserve"> : la racinisation ne peut pas précéder le dépouillement des accents.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567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969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Opération</w:t>
            </w:r>
          </w:p>
        </w:tc>
        <w:tc>
          <w:tcPr>
            <w:tcW w:type="dxa" w:w="3969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Effet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Passage en minuscules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Bibliothèque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bibliothèque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Suppression des diacritiques (forme NFD)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bibliothèque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bibliotheque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Ponctuation remplacée par une espace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côté/navigateur</w:t>
            </w:r>
            <w:r>
              <w:rPr>
                <w:sz w:val="19"/>
              </w:rPr>
              <w:t xml:space="preserve"> → deux termes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 xml:space="preserve">Rejet des termes de 2 lettres ou moins </w:t>
            </w:r>
            <w:r>
              <w:rPr>
                <w:b/>
                <w:sz w:val="19"/>
              </w:rPr>
              <w:t>et</w:t>
            </w:r>
            <w:r>
              <w:rPr>
                <w:sz w:val="19"/>
              </w:rPr>
              <w:t xml:space="preserve"> des mots vides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pour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est</w:t>
            </w:r>
            <w:r>
              <w:rPr>
                <w:sz w:val="19"/>
              </w:rPr>
              <w:t xml:space="preserve"> écartés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Racinisation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bibliotheque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bibliothequ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La liste des mots vides</w:t>
      </w:r>
      <w:r>
        <w:rPr>
          <w:sz w:val="22"/>
        </w:rPr>
        <w:t xml:space="preserve"> compte 26 entrées : </w:t>
      </w:r>
      <w:r>
        <w:rPr>
          <w:i/>
          <w:sz w:val="22"/>
        </w:rPr>
        <w:t>de, des, du, la, le, les, un, une, et, ou, au, aux, sur, pour, par, dans, avec, sans, leur, leurs, ce, ces, son, ses, est, sont</w:t>
      </w:r>
      <w:r>
        <w:rPr>
          <w:sz w:val="22"/>
        </w:rPr>
        <w:t>.</w:t>
      </w:r>
    </w:p>
    <w:p>
      <w:r>
        <w:rPr>
          <w:b/>
          <w:sz w:val="22"/>
        </w:rPr>
        <w:t>La racinisation</w:t>
      </w:r>
      <w:r>
        <w:rPr>
          <w:sz w:val="22"/>
        </w:rPr>
        <w:t xml:space="preserve"> </w:t>
      </w:r>
      <w:r>
        <w:rPr>
          <w:rFonts w:ascii="Consolas" w:hAnsi="Consolas"/>
          <w:sz w:val="20"/>
        </w:rPr>
        <w:t>r(m)</w:t>
      </w:r>
      <w:r>
        <w:rPr>
          <w:sz w:val="22"/>
        </w:rPr>
        <w:t xml:space="preserve"> ne s'applique qu'aux mots de plus de quatre lettres :</w:t>
      </w:r>
    </w:p>
    <w:p>
      <w:pPr>
        <w:spacing w:before="20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si |m| ≤ 4  →  m inchangé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(aux|eaux)$  →  al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(elles|elle)$  →  el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(ives|ive)$  →  if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s$  →  ∅</w:t>
      </w:r>
    </w:p>
    <w:p>
      <w:pPr>
        <w:spacing w:before="4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e$  →  ∅</w:t>
      </w:r>
    </w:p>
    <w:p>
      <w:r>
        <w:rPr>
          <w:b/>
          <w:sz w:val="22"/>
        </w:rPr>
        <w:t>Justification.</w:t>
      </w:r>
      <w:r>
        <w:rPr>
          <w:sz w:val="22"/>
        </w:rPr>
        <w:t xml:space="preserve"> Sans racinisation, « industrielle » et « industrielles » restent deux termes distincts, et deux descriptions industrielles ne partagent plus rien. Une racinisation agressive — de type Porter — rapprocherait en revanche des termes sans rapport, ce qui serait pire que le problème initial. C'est un arbitrage assumé entre rappel et précision.</w:t>
      </w:r>
    </w:p>
    <w:p>
      <w:r>
        <w:rPr>
          <w:sz w:val="22"/>
        </w:rPr>
        <w:t xml:space="preserve">On note </w:t>
      </w:r>
      <w:r>
        <w:rPr>
          <w:rFonts w:ascii="Consolas" w:hAnsi="Consolas"/>
          <w:sz w:val="20"/>
        </w:rPr>
        <w:t>T(a)</w:t>
      </w:r>
      <w:r>
        <w:rPr>
          <w:sz w:val="22"/>
        </w:rPr>
        <w:t xml:space="preserve"> le multi-ensemble des termes retenus. Pour React comme pour Vue.js : </w:t>
      </w:r>
      <w:r>
        <w:rPr>
          <w:b/>
          <w:sz w:val="22"/>
        </w:rPr>
        <w:t>8 termes</w:t>
      </w:r>
      <w:r>
        <w:rPr>
          <w:sz w:val="22"/>
        </w:rPr>
        <w:t xml:space="preserve">, dont </w:t>
      </w:r>
      <w:r>
        <w:rPr>
          <w:b/>
          <w:sz w:val="22"/>
        </w:rPr>
        <w:t>7 identiques</w:t>
      </w:r>
      <w:r>
        <w:rPr>
          <w:sz w:val="22"/>
        </w:rPr>
        <w:t>.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3 · </w:t>
      </w:r>
      <w:r>
        <w:rPr>
          <w:b/>
          <w:sz w:val="23"/>
        </w:rPr>
        <w:t>Compter — deux dénombrements de portée différente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587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Comptage</w:t>
            </w:r>
          </w:p>
        </w:tc>
        <w:tc>
          <w:tcPr>
            <w:tcW w:type="dxa" w:w="2948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Portée</w:t>
            </w:r>
          </w:p>
        </w:tc>
        <w:tc>
          <w:tcPr>
            <w:tcW w:type="dxa" w:w="3969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Définition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sz w:val="19"/>
              </w:rPr>
              <w:t>tf(t, a)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b/>
                <w:sz w:val="19"/>
              </w:rPr>
              <w:t>locale</w:t>
            </w:r>
            <w:r>
              <w:rPr>
                <w:sz w:val="19"/>
              </w:rPr>
              <w:t xml:space="preserve"> — une description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nombre d'occurrences du terme t dans T(a)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sz w:val="19"/>
              </w:rPr>
              <w:t>df(t)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b/>
                <w:sz w:val="19"/>
              </w:rPr>
              <w:t>globale</w:t>
            </w:r>
            <w:r>
              <w:rPr>
                <w:sz w:val="19"/>
              </w:rPr>
              <w:t xml:space="preserve"> — les 56 descriptions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9"/>
              </w:rPr>
              <w:t>nombre de descriptions contenant au moins une fois t</w:t>
            </w:r>
          </w:p>
        </w:tc>
      </w:tr>
    </w:tbl>
    <w:p>
      <w:pPr>
        <w:spacing w:after="40"/>
      </w:pPr>
    </w:p>
    <w:p>
      <w:r>
        <w:rPr>
          <w:sz w:val="22"/>
        </w:rPr>
        <w:t xml:space="preserve">C'est la seule étape qui exige le corpus entier : </w:t>
      </w:r>
      <w:r>
        <w:rPr>
          <w:rFonts w:ascii="Consolas" w:hAnsi="Consolas"/>
          <w:sz w:val="20"/>
        </w:rPr>
        <w:t>df</w:t>
      </w:r>
      <w:r>
        <w:rPr>
          <w:sz w:val="22"/>
        </w:rPr>
        <w:t xml:space="preserve"> ne se calcule pas description par description.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4 · </w:t>
      </w:r>
      <w:r>
        <w:rPr>
          <w:b/>
          <w:sz w:val="23"/>
        </w:rPr>
        <w:t>Calculer le poids de chaque terme</w:t>
      </w:r>
    </w:p>
    <w:p>
      <w:pPr>
        <w:spacing w:before="20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w(t, a)  =  tf(t, a)  ×  ( ln ( N ⁄ df(t) ) + 1 )</w:t>
      </w:r>
    </w:p>
    <w:p>
      <w:r>
        <w:rPr>
          <w:sz w:val="22"/>
        </w:rPr>
        <w:t>Le facteur de droite est l'</w:t>
      </w:r>
      <w:r>
        <w:rPr>
          <w:b/>
          <w:sz w:val="22"/>
        </w:rPr>
        <w:t>IDF</w:t>
      </w:r>
      <w:r>
        <w:rPr>
          <w:sz w:val="22"/>
        </w:rPr>
        <w:t xml:space="preserve">, </w:t>
      </w:r>
      <w:r>
        <w:rPr>
          <w:i/>
          <w:sz w:val="22"/>
        </w:rPr>
        <w:t>inverse document frequency</w:t>
      </w:r>
      <w:r>
        <w:rPr>
          <w:sz w:val="22"/>
        </w:rPr>
        <w:t>. Sa lecture : plus un terme est rare dans le référentiel, plus il discrimine.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Terme racinisé</w:t>
            </w:r>
          </w:p>
        </w:tc>
        <w:tc>
          <w:tcPr>
            <w:tcW w:type="dxa" w:w="850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df</w:t>
            </w:r>
          </w:p>
        </w:tc>
        <w:tc>
          <w:tcPr>
            <w:tcW w:type="dxa" w:w="1984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ln(56 ÷ df) + 1</w:t>
            </w:r>
          </w:p>
        </w:tc>
        <w:tc>
          <w:tcPr>
            <w:tcW w:type="dxa" w:w="3402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Lecture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bibliothequ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5,025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propre à la description de React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composant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3,927</w:t>
            </w:r>
          </w:p>
        </w:tc>
        <w:tc>
          <w:tcPr>
            <w:tcW w:type="dxa" w:w="3402"/>
          </w:tcPr>
          <w:p>
            <w:pPr>
              <w:spacing w:after="40"/>
            </w:pP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javascript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3,639</w:t>
            </w:r>
          </w:p>
        </w:tc>
        <w:tc>
          <w:tcPr>
            <w:tcW w:type="dxa" w:w="3402"/>
          </w:tcPr>
          <w:p>
            <w:pPr>
              <w:spacing w:after="40"/>
            </w:pP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interfac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3,416</w:t>
            </w:r>
          </w:p>
        </w:tc>
        <w:tc>
          <w:tcPr>
            <w:tcW w:type="dxa" w:w="3402"/>
          </w:tcPr>
          <w:p>
            <w:pPr>
              <w:spacing w:after="40"/>
            </w:pP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web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3,234</w:t>
            </w:r>
          </w:p>
        </w:tc>
        <w:tc>
          <w:tcPr>
            <w:tcW w:type="dxa" w:w="3402"/>
          </w:tcPr>
          <w:p>
            <w:pPr>
              <w:spacing w:after="40"/>
            </w:pP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construir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3,079</w:t>
            </w:r>
          </w:p>
        </w:tc>
        <w:tc>
          <w:tcPr>
            <w:tcW w:type="dxa" w:w="3402"/>
          </w:tcPr>
          <w:p>
            <w:pPr>
              <w:spacing w:after="40"/>
            </w:pP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cote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2,540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banal — pèse deux fois moins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Pourquoi l'IDF est indispensable.</w:t>
      </w:r>
      <w:r>
        <w:rPr>
          <w:sz w:val="22"/>
        </w:rPr>
        <w:t xml:space="preserve"> Sans lui, « pour » et « applications » pèseraient autant que « relationnelles ». Or ce sont précisément les termes rares qui distinguent une compétence d'une autre.</w:t>
      </w:r>
    </w:p>
    <w:p>
      <w:r>
        <w:rPr>
          <w:b/>
          <w:sz w:val="22"/>
        </w:rPr>
        <w:t>Pourquoi le terme + 1.</w:t>
      </w:r>
      <w:r>
        <w:rPr>
          <w:sz w:val="22"/>
        </w:rPr>
        <w:t xml:space="preserve"> Un terme présent dans les 56 descriptions donnerait </w:t>
      </w:r>
      <w:r>
        <w:rPr>
          <w:rFonts w:ascii="Consolas" w:hAnsi="Consolas"/>
          <w:sz w:val="20"/>
        </w:rPr>
        <w:t>ln(1) = 0</w:t>
      </w:r>
      <w:r>
        <w:rPr>
          <w:sz w:val="22"/>
        </w:rPr>
        <w:t xml:space="preserve">, donc un poids nul et une disparition pure et simple du vecteur. Le </w:t>
      </w:r>
      <w:r>
        <w:rPr>
          <w:rFonts w:ascii="Consolas" w:hAnsi="Consolas"/>
          <w:sz w:val="20"/>
        </w:rPr>
        <w:t>+ 1</w:t>
      </w:r>
      <w:r>
        <w:rPr>
          <w:sz w:val="22"/>
        </w:rPr>
        <w:t xml:space="preserve"> lui laisse un poids plancher.</w:t>
      </w:r>
    </w:p>
    <w:p>
      <w:r>
        <w:rPr>
          <w:sz w:val="22"/>
        </w:rPr>
        <w:t xml:space="preserve">La description devient ainsi un </w:t>
      </w:r>
      <w:r>
        <w:rPr>
          <w:b/>
          <w:sz w:val="22"/>
        </w:rPr>
        <w:t>vecteur</w:t>
      </w:r>
      <w:r>
        <w:rPr>
          <w:sz w:val="22"/>
        </w:rPr>
        <w:t xml:space="preserve"> </w:t>
      </w:r>
      <w:r>
        <w:rPr>
          <w:rFonts w:ascii="Consolas" w:hAnsi="Consolas"/>
          <w:sz w:val="20"/>
        </w:rPr>
        <w:t>v_txt(a) = ( w(t, a) )</w:t>
      </w:r>
      <w:r>
        <w:rPr>
          <w:sz w:val="22"/>
        </w:rPr>
        <w:t xml:space="preserve"> indexé par les termes.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5 · </w:t>
      </w:r>
      <w:r>
        <w:rPr>
          <w:b/>
          <w:sz w:val="23"/>
        </w:rPr>
        <w:t>Comparer deux compétences — le cosinus</w:t>
      </w:r>
    </w:p>
    <w:p>
      <w:pPr>
        <w:spacing w:before="20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cos</w:t>
      </w:r>
      <w:r>
        <w:rPr>
          <w:rFonts w:ascii="Cambria Math" w:hAnsi="Cambria Math"/>
          <w:sz w:val="23"/>
          <w:vertAlign w:val="subscript"/>
        </w:rPr>
        <w:t>txt</w:t>
      </w:r>
      <w:r>
        <w:rPr>
          <w:rFonts w:ascii="Cambria Math" w:hAnsi="Cambria Math"/>
          <w:sz w:val="23"/>
        </w:rPr>
        <w:t>(a, b)  =  Σ</w:t>
      </w:r>
      <w:r>
        <w:rPr>
          <w:rFonts w:ascii="Cambria Math" w:hAnsi="Cambria Math"/>
          <w:sz w:val="23"/>
          <w:vertAlign w:val="subscript"/>
        </w:rPr>
        <w:t>t</w:t>
      </w:r>
      <w:r>
        <w:rPr>
          <w:rFonts w:ascii="Cambria Math" w:hAnsi="Cambria Math"/>
          <w:sz w:val="23"/>
        </w:rPr>
        <w:t xml:space="preserve"> w(t,a) · w(t,b)   ⁄   ( ‖v</w:t>
      </w:r>
      <w:r>
        <w:rPr>
          <w:rFonts w:ascii="Cambria Math" w:hAnsi="Cambria Math"/>
          <w:sz w:val="23"/>
          <w:vertAlign w:val="subscript"/>
        </w:rPr>
        <w:t>txt</w:t>
      </w:r>
      <w:r>
        <w:rPr>
          <w:rFonts w:ascii="Cambria Math" w:hAnsi="Cambria Math"/>
          <w:sz w:val="23"/>
        </w:rPr>
        <w:t>(a)‖ · ‖v</w:t>
      </w:r>
      <w:r>
        <w:rPr>
          <w:rFonts w:ascii="Cambria Math" w:hAnsi="Cambria Math"/>
          <w:sz w:val="23"/>
          <w:vertAlign w:val="subscript"/>
        </w:rPr>
        <w:t>txt</w:t>
      </w:r>
      <w:r>
        <w:rPr>
          <w:rFonts w:ascii="Cambria Math" w:hAnsi="Cambria Math"/>
          <w:sz w:val="23"/>
        </w:rPr>
        <w:t>(b)‖ )</w:t>
      </w:r>
    </w:p>
    <w:p>
      <w:pPr>
        <w:spacing w:before="4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avec  ‖v‖  =  √( Σ</w:t>
      </w:r>
      <w:r>
        <w:rPr>
          <w:rFonts w:ascii="Cambria Math" w:hAnsi="Cambria Math"/>
          <w:sz w:val="23"/>
          <w:vertAlign w:val="subscript"/>
        </w:rPr>
        <w:t>t</w:t>
      </w:r>
      <w:r>
        <w:rPr>
          <w:rFonts w:ascii="Cambria Math" w:hAnsi="Cambria Math"/>
          <w:sz w:val="23"/>
        </w:rPr>
        <w:t xml:space="preserve"> w(t)</w:t>
      </w:r>
      <w:r>
        <w:rPr>
          <w:rFonts w:ascii="Cambria Math" w:hAnsi="Cambria Math"/>
          <w:sz w:val="23"/>
          <w:vertAlign w:val="superscript"/>
        </w:rPr>
        <w:t>2</w:t>
      </w:r>
      <w:r>
        <w:rPr>
          <w:rFonts w:ascii="Cambria Math" w:hAnsi="Cambria Math"/>
          <w:sz w:val="23"/>
        </w:rPr>
        <w:t xml:space="preserve"> )</w:t>
      </w:r>
    </w:p>
    <w:p>
      <w:r>
        <w:rPr>
          <w:sz w:val="22"/>
        </w:rPr>
        <w:t xml:space="preserve">Seuls les termes </w:t>
      </w:r>
      <w:r>
        <w:rPr>
          <w:b/>
          <w:sz w:val="22"/>
        </w:rPr>
        <w:t>communs</w:t>
      </w:r>
      <w:r>
        <w:rPr>
          <w:sz w:val="22"/>
        </w:rPr>
        <w:t xml:space="preserve"> contribuent au numérateur : un terme absent chez l'autre donne un produit nul. Les termes non partagés, eux, alourdissent les normes au dénominateur — c'est ce qui empêche le cosinus d'atteindre 1.</w:t>
      </w:r>
    </w:p>
    <w:p>
      <w:r>
        <w:rPr>
          <w:b/>
          <w:sz w:val="22"/>
        </w:rPr>
        <w:t>Application chiffrée — React contre Vue.js.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Terme</w:t>
            </w:r>
          </w:p>
        </w:tc>
        <w:tc>
          <w:tcPr>
            <w:tcW w:type="dxa" w:w="1701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 React</w:t>
            </w:r>
          </w:p>
        </w:tc>
        <w:tc>
          <w:tcPr>
            <w:tcW w:type="dxa" w:w="1701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 Vue.js</w:t>
            </w:r>
          </w:p>
        </w:tc>
        <w:tc>
          <w:tcPr>
            <w:tcW w:type="dxa" w:w="1701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Produit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javascript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3,639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3,639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13,243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composant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3,927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3,927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15,419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construir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3,079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3,079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9,483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interfac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3,416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3,416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11,668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web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3,234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3,234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10,456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cote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2,540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2,540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6,454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navigateur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3,234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3,234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10,456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bibliothequ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5,025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framework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3,639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19"/>
              </w:rPr>
              <w:t>Somme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</w:p>
        </w:tc>
        <w:tc>
          <w:tcPr>
            <w:tcW w:type="dxa" w:w="1701"/>
          </w:tcPr>
          <w:p>
            <w:pPr>
              <w:spacing w:after="40"/>
              <w:jc w:val="right"/>
            </w:pP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77,180</w:t>
            </w:r>
          </w:p>
        </w:tc>
      </w:tr>
    </w:tbl>
    <w:p>
      <w:pPr>
        <w:spacing w:after="40"/>
      </w:pPr>
    </w:p>
    <w:p>
      <w:pPr>
        <w:spacing w:before="20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‖v</w:t>
      </w:r>
      <w:r>
        <w:rPr>
          <w:rFonts w:ascii="Cambria Math" w:hAnsi="Cambria Math"/>
          <w:sz w:val="23"/>
          <w:vertAlign w:val="subscript"/>
        </w:rPr>
        <w:t>txt</w:t>
      </w:r>
      <w:r>
        <w:rPr>
          <w:rFonts w:ascii="Cambria Math" w:hAnsi="Cambria Math"/>
          <w:sz w:val="23"/>
        </w:rPr>
        <w:t>(React)‖ = 10,121          ‖v</w:t>
      </w:r>
      <w:r>
        <w:rPr>
          <w:rFonts w:ascii="Cambria Math" w:hAnsi="Cambria Math"/>
          <w:sz w:val="23"/>
          <w:vertAlign w:val="subscript"/>
        </w:rPr>
        <w:t>txt</w:t>
      </w:r>
      <w:r>
        <w:rPr>
          <w:rFonts w:ascii="Cambria Math" w:hAnsi="Cambria Math"/>
          <w:sz w:val="23"/>
        </w:rPr>
        <w:t>(Vue.js)‖ = 9,509</w:t>
      </w:r>
    </w:p>
    <w:p>
      <w:pPr>
        <w:spacing w:before="4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cos</w:t>
      </w:r>
      <w:r>
        <w:rPr>
          <w:rFonts w:ascii="Cambria Math" w:hAnsi="Cambria Math"/>
          <w:sz w:val="23"/>
          <w:vertAlign w:val="subscript"/>
        </w:rPr>
        <w:t>txt</w:t>
      </w:r>
      <w:r>
        <w:rPr>
          <w:rFonts w:ascii="Cambria Math" w:hAnsi="Cambria Math"/>
          <w:sz w:val="23"/>
        </w:rPr>
        <w:t xml:space="preserve">  =  77,180 ⁄ ( 10,121 × 9,509 )  =  77,180 ⁄ 96,241  =  0,8019</w:t>
      </w:r>
    </w:p>
    <w:p>
      <w:r>
        <w:rPr>
          <w:b/>
          <w:sz w:val="22"/>
        </w:rPr>
        <w:t>Le contre-exemple à faire figurer :</w:t>
      </w:r>
      <w:r>
        <w:rPr>
          <w:sz w:val="22"/>
        </w:rPr>
        <w:t xml:space="preserve"> </w:t>
      </w:r>
      <w:r>
        <w:rPr>
          <w:rFonts w:ascii="Consolas" w:hAnsi="Consolas"/>
          <w:sz w:val="20"/>
        </w:rPr>
        <w:t>cos_txt(Git, SQL) = 0</w:t>
      </w:r>
      <w:r>
        <w:rPr>
          <w:sz w:val="22"/>
        </w:rPr>
        <w:t>. « Versions du code source » et « bases de données relationnelles » ne partagent aucun terme après les cinq opérations — le numérateur est une somme vide.</w:t>
      </w:r>
    </w:p>
    <w:p>
      <w:r>
        <w:br w:type="page"/>
      </w:r>
    </w:p>
    <w:p>
      <w:pPr>
        <w:pStyle w:val="Heading2"/>
      </w:pPr>
      <w:r>
        <w:t>Source 2 — La catégorie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1 · </w:t>
      </w:r>
      <w:r>
        <w:rPr>
          <w:b/>
          <w:sz w:val="23"/>
        </w:rPr>
        <w:t>Récupérer la catégorie des deux compétences</w:t>
      </w:r>
    </w:p>
    <w:p>
      <w:r>
        <w:rPr>
          <w:sz w:val="22"/>
        </w:rPr>
        <w:t xml:space="preserve">Chaque compétence porte une catégorie du référentiel : </w:t>
      </w:r>
      <w:r>
        <w:rPr>
          <w:rFonts w:ascii="Consolas" w:hAnsi="Consolas"/>
          <w:sz w:val="20"/>
        </w:rPr>
        <w:t>cat(a)</w:t>
      </w:r>
      <w:r>
        <w:rPr>
          <w:sz w:val="22"/>
        </w:rPr>
        <w:t xml:space="preserve"> appartient à </w:t>
      </w:r>
      <w:r>
        <w:rPr>
          <w:i/>
          <w:sz w:val="22"/>
        </w:rPr>
        <w:t>{ Technique, Données, Gestion, Langue, Réseaux, Industrie, … }</w:t>
      </w:r>
      <w:r>
        <w:rPr>
          <w:sz w:val="22"/>
        </w:rPr>
        <w:t>.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2 · </w:t>
      </w:r>
      <w:r>
        <w:rPr>
          <w:b/>
          <w:sz w:val="23"/>
        </w:rPr>
        <w:t>Comparer</w:t>
      </w:r>
    </w:p>
    <w:p>
      <w:pPr>
        <w:spacing w:before="20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δ(a, b)  =  1  si cat(a) = cat(b),   0  sinon</w:t>
      </w:r>
    </w:p>
    <w:p>
      <w:r>
        <w:rPr>
          <w:sz w:val="22"/>
        </w:rPr>
        <w:t xml:space="preserve">C'est un </w:t>
      </w:r>
      <w:r>
        <w:rPr>
          <w:b/>
          <w:sz w:val="22"/>
        </w:rPr>
        <w:t>a priori</w:t>
      </w:r>
      <w:r>
        <w:rPr>
          <w:sz w:val="22"/>
        </w:rPr>
        <w:t xml:space="preserve"> au sens statistique : une croyance mobilisée en l'absence d'observation. Deux propriétés méritent d'être énoncées explicitement.</w:t>
      </w:r>
    </w:p>
    <w:p>
      <w:pPr>
        <w:pStyle w:val="ListBullet"/>
        <w:spacing w:after="60"/>
      </w:pPr>
      <w:r>
        <w:rPr>
          <w:b/>
          <w:sz w:val="22"/>
        </w:rPr>
        <w:t>Il est binaire.</w:t>
      </w:r>
      <w:r>
        <w:rPr>
          <w:sz w:val="22"/>
        </w:rPr>
        <w:t xml:space="preserve"> Aucune notion de proximité entre catégories — </w:t>
      </w:r>
      <w:r>
        <w:rPr>
          <w:i/>
          <w:sz w:val="22"/>
        </w:rPr>
        <w:t>Technique</w:t>
      </w:r>
      <w:r>
        <w:rPr>
          <w:sz w:val="22"/>
        </w:rPr>
        <w:t xml:space="preserve"> et </w:t>
      </w:r>
      <w:r>
        <w:rPr>
          <w:i/>
          <w:sz w:val="22"/>
        </w:rPr>
        <w:t>Données</w:t>
      </w:r>
      <w:r>
        <w:rPr>
          <w:sz w:val="22"/>
        </w:rPr>
        <w:t xml:space="preserve"> sont aussi éloignées que </w:t>
      </w:r>
      <w:r>
        <w:rPr>
          <w:i/>
          <w:sz w:val="22"/>
        </w:rPr>
        <w:t>Technique</w:t>
      </w:r>
      <w:r>
        <w:rPr>
          <w:sz w:val="22"/>
        </w:rPr>
        <w:t xml:space="preserve"> et </w:t>
      </w:r>
      <w:r>
        <w:rPr>
          <w:i/>
          <w:sz w:val="22"/>
        </w:rPr>
        <w:t>Langue</w:t>
      </w:r>
      <w:r>
        <w:rPr>
          <w:sz w:val="22"/>
        </w:rPr>
        <w:t>.</w:t>
      </w:r>
    </w:p>
    <w:p>
      <w:pPr>
        <w:pStyle w:val="ListBullet"/>
        <w:spacing w:after="60"/>
      </w:pPr>
      <w:r>
        <w:rPr>
          <w:b/>
          <w:sz w:val="22"/>
        </w:rPr>
        <w:t>Il n'est pas amorti</w:t>
      </w:r>
      <w:r>
        <w:rPr>
          <w:sz w:val="22"/>
        </w:rPr>
        <w:t>, contrairement au terme observé. C'est délibéré : il ne repose sur aucune observation, et son rôle est précisément de combler leur absence. Amortir un a priori par le volume de preuves n'aurait pas de sens.</w:t>
      </w:r>
    </w:p>
    <w:p>
      <w:r>
        <w:br w:type="page"/>
      </w:r>
    </w:p>
    <w:p>
      <w:pPr>
        <w:pStyle w:val="Heading2"/>
      </w:pPr>
      <w:r>
        <w:t>Source 3 — Les fréquentations</w:t>
      </w:r>
    </w:p>
    <w:p>
      <w:r>
        <w:rPr>
          <w:sz w:val="22"/>
        </w:rPr>
        <w:t xml:space="preserve">Le principe est celui de la sémantique distributionnelle : </w:t>
      </w:r>
      <w:r>
        <w:rPr>
          <w:i/>
          <w:sz w:val="22"/>
        </w:rPr>
        <w:t>« on reconnaît un mot à ses fréquentations »</w:t>
      </w:r>
      <w:r>
        <w:rPr>
          <w:sz w:val="22"/>
        </w:rPr>
        <w:t xml:space="preserve"> (Firth, 1957). C'est le fondement conceptuel de word2vec, mais calculé ici par comptage plutôt que par descente de gradient — donc entièrement inspectable.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1 · </w:t>
      </w:r>
      <w:r>
        <w:rPr>
          <w:b/>
          <w:sz w:val="23"/>
        </w:rPr>
        <w:t>Construire les contextes</w:t>
      </w:r>
    </w:p>
    <w:p>
      <w:r>
        <w:rPr>
          <w:sz w:val="22"/>
        </w:rPr>
        <w:t xml:space="preserve">Un </w:t>
      </w:r>
      <w:r>
        <w:rPr>
          <w:b/>
          <w:sz w:val="22"/>
        </w:rPr>
        <w:t>contexte</w:t>
      </w:r>
      <w:r>
        <w:rPr>
          <w:sz w:val="22"/>
        </w:rPr>
        <w:t xml:space="preserve"> est un ensemble de compétences observées ensemble. Deux sources :</w:t>
      </w:r>
    </w:p>
    <w:p>
      <w:pPr>
        <w:spacing w:before="20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C</w:t>
      </w:r>
      <w:r>
        <w:rPr>
          <w:rFonts w:ascii="Cambria Math" w:hAnsi="Cambria Math"/>
          <w:sz w:val="23"/>
          <w:vertAlign w:val="subscript"/>
        </w:rPr>
        <w:t>offre</w:t>
      </w:r>
      <w:r>
        <w:rPr>
          <w:rFonts w:ascii="Cambria Math" w:hAnsi="Cambria Math"/>
          <w:sz w:val="23"/>
        </w:rPr>
        <w:t>(i)     =  { compétences exigées par l’offre i }</w:t>
      </w:r>
    </w:p>
    <w:p>
      <w:pPr>
        <w:spacing w:before="4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C</w:t>
      </w:r>
      <w:r>
        <w:rPr>
          <w:rFonts w:ascii="Cambria Math" w:hAnsi="Cambria Math"/>
          <w:sz w:val="23"/>
          <w:vertAlign w:val="subscript"/>
        </w:rPr>
        <w:t>etudiant</w:t>
      </w:r>
      <w:r>
        <w:rPr>
          <w:rFonts w:ascii="Cambria Math" w:hAnsi="Cambria Math"/>
          <w:sz w:val="23"/>
        </w:rPr>
        <w:t>(j)  =  { compétences déclarées par l’étudiant j }</w:t>
      </w:r>
    </w:p>
    <w:p>
      <w:r>
        <w:rPr>
          <w:b/>
          <w:sz w:val="22"/>
        </w:rPr>
        <w:t>Le préfixage est nécessaire</w:t>
      </w:r>
      <w:r>
        <w:rPr>
          <w:sz w:val="22"/>
        </w:rPr>
        <w:t xml:space="preserve"> : l'offre n° 3 et l'étudiant n° 3 sont deux contextes distincts. Les clés sont donc </w:t>
      </w:r>
      <w:r>
        <w:rPr>
          <w:rFonts w:ascii="Consolas" w:hAnsi="Consolas"/>
          <w:sz w:val="20"/>
        </w:rPr>
        <w:t>o3</w:t>
      </w:r>
      <w:r>
        <w:rPr>
          <w:sz w:val="22"/>
        </w:rPr>
        <w:t xml:space="preserve"> et </w:t>
      </w:r>
      <w:r>
        <w:rPr>
          <w:rFonts w:ascii="Consolas" w:hAnsi="Consolas"/>
          <w:sz w:val="20"/>
        </w:rPr>
        <w:t>e3</w:t>
      </w:r>
      <w:r>
        <w:rPr>
          <w:sz w:val="22"/>
        </w:rPr>
        <w:t>.</w:t>
      </w:r>
    </w:p>
    <w:p>
      <w:r>
        <w:rPr>
          <w:b/>
          <w:sz w:val="22"/>
        </w:rPr>
        <w:t>Le filtre :</w:t>
      </w:r>
      <w:r>
        <w:rPr>
          <w:sz w:val="22"/>
        </w:rPr>
        <w:t xml:space="preserve"> seuls les contextes de cardinal </w:t>
      </w:r>
      <w:r>
        <w:rPr>
          <w:rFonts w:ascii="Consolas" w:hAnsi="Consolas"/>
          <w:sz w:val="20"/>
        </w:rPr>
        <w:t>|C| ≥ 2</w:t>
      </w:r>
      <w:r>
        <w:rPr>
          <w:sz w:val="22"/>
        </w:rPr>
        <w:t xml:space="preserve"> sont retenus. Un contexte à une seule compétence ne forme aucune paire.</w:t>
      </w:r>
    </w:p>
    <w:p>
      <w:r>
        <w:rPr>
          <w:sz w:val="22"/>
        </w:rPr>
        <w:t xml:space="preserve">Sur le corpus versionné : </w:t>
      </w:r>
      <w:r>
        <w:rPr>
          <w:b/>
          <w:sz w:val="22"/>
        </w:rPr>
        <w:t>103 contextes</w:t>
      </w:r>
      <w:r>
        <w:rPr>
          <w:sz w:val="22"/>
        </w:rPr>
        <w:t xml:space="preserve"> retenus, issus de 204 liens offre-compétence et 134 liens étudiant-compétence.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2 · </w:t>
      </w:r>
      <w:r>
        <w:rPr>
          <w:b/>
          <w:sz w:val="23"/>
        </w:rPr>
        <w:t>Compter les paires — la matrice de co-occurrence</w:t>
      </w:r>
    </w:p>
    <w:p>
      <w:pPr>
        <w:spacing w:before="20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M[a][b]  =  #{ C ∈ 𝒳  :  a ∈ C  et  b ∈ C }</w:t>
      </w:r>
    </w:p>
    <w:p>
      <w:r>
        <w:rPr>
          <w:sz w:val="22"/>
        </w:rPr>
        <w:t>Algorithmiquement, une double boucle sur les paires de chaque contexte :</w:t>
      </w:r>
    </w:p>
    <w:p>
      <w:pPr>
        <w:spacing w:before="20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pour chaque contexte C ∈ 𝒳 :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 xml:space="preserve">    pour chaque paire (a, b) ⊂ C, a ≠ b :</w:t>
      </w:r>
    </w:p>
    <w:p>
      <w:pPr>
        <w:spacing w:before="4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 xml:space="preserve">        M[a][b] += 1   et   M[b][a] += 1</w:t>
      </w:r>
    </w:p>
    <w:p>
      <w:r>
        <w:rPr>
          <w:b/>
          <w:sz w:val="22"/>
        </w:rPr>
        <w:t>Trois propriétés à consigner.</w:t>
      </w:r>
    </w:p>
    <w:p>
      <w:pPr>
        <w:pStyle w:val="ListBullet"/>
        <w:spacing w:after="60"/>
      </w:pPr>
      <w:r>
        <w:rPr>
          <w:b/>
          <w:sz w:val="22"/>
        </w:rPr>
        <w:t>Symétrique</w:t>
      </w:r>
      <w:r>
        <w:rPr>
          <w:sz w:val="22"/>
        </w:rPr>
        <w:t xml:space="preserve"> — </w:t>
      </w:r>
      <w:r>
        <w:rPr>
          <w:rFonts w:ascii="Consolas" w:hAnsi="Consolas"/>
          <w:sz w:val="20"/>
        </w:rPr>
        <w:t>M[a][b] = M[b][a]</w:t>
      </w:r>
      <w:r>
        <w:rPr>
          <w:sz w:val="22"/>
        </w:rPr>
        <w:t>, par construction.</w:t>
      </w:r>
    </w:p>
    <w:p>
      <w:pPr>
        <w:pStyle w:val="ListBullet"/>
        <w:spacing w:after="60"/>
      </w:pPr>
      <w:r>
        <w:rPr>
          <w:b/>
          <w:sz w:val="22"/>
        </w:rPr>
        <w:t>Diagonale non renseignée</w:t>
      </w:r>
      <w:r>
        <w:rPr>
          <w:sz w:val="22"/>
        </w:rPr>
        <w:t xml:space="preserve"> — une compétence n'est pas comptée avec elle-même.</w:t>
      </w:r>
    </w:p>
    <w:p>
      <w:pPr>
        <w:pStyle w:val="ListBullet"/>
        <w:spacing w:after="60"/>
      </w:pPr>
      <w:r>
        <w:rPr>
          <w:b/>
          <w:sz w:val="22"/>
        </w:rPr>
        <w:t>Creuse</w:t>
      </w:r>
      <w:r>
        <w:rPr>
          <w:sz w:val="22"/>
        </w:rPr>
        <w:t xml:space="preserve"> — 185 paires non nulles sur </w:t>
      </w:r>
      <w:r>
        <w:rPr>
          <w:rFonts w:ascii="Consolas" w:hAnsi="Consolas"/>
          <w:sz w:val="20"/>
        </w:rPr>
        <w:t>N(N−1)/2 = 1 540</w:t>
      </w:r>
      <w:r>
        <w:rPr>
          <w:sz w:val="22"/>
        </w:rPr>
        <w:t xml:space="preserve"> possibles, soit une densité de </w:t>
      </w:r>
      <w:r>
        <w:rPr>
          <w:b/>
          <w:sz w:val="22"/>
        </w:rPr>
        <w:t>12 %</w:t>
      </w:r>
      <w:r>
        <w:rPr>
          <w:sz w:val="22"/>
        </w:rPr>
        <w:t xml:space="preserve">. D'où le choix d'une structure associative plutôt qu'un tableau </w:t>
      </w:r>
      <w:r>
        <w:rPr>
          <w:rFonts w:ascii="Consolas" w:hAnsi="Consolas"/>
          <w:sz w:val="20"/>
        </w:rPr>
        <w:t>56 × 56</w:t>
      </w:r>
      <w:r>
        <w:rPr>
          <w:sz w:val="22"/>
        </w:rPr>
        <w:t xml:space="preserve"> dont 96 % des cases seraient des zéros.</w:t>
      </w:r>
    </w:p>
    <w:p>
      <w:r>
        <w:rPr>
          <w:b/>
          <w:sz w:val="22"/>
        </w:rPr>
        <w:t>Extrait réel du corpus</w:t>
      </w:r>
      <w:r>
        <w:rPr>
          <w:sz w:val="22"/>
        </w:rPr>
        <w:t xml:space="preserve"> — sous-matrice de huit compétences.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>
        <w:tc>
          <w:tcPr>
            <w:tcW w:type="dxa" w:w="1814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M[a][b]</w:t>
            </w:r>
          </w:p>
        </w:tc>
        <w:tc>
          <w:tcPr>
            <w:tcW w:type="dxa" w:w="850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React</w:t>
            </w:r>
          </w:p>
        </w:tc>
        <w:tc>
          <w:tcPr>
            <w:tcW w:type="dxa" w:w="850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Vue.js</w:t>
            </w:r>
          </w:p>
        </w:tc>
        <w:tc>
          <w:tcPr>
            <w:tcW w:type="dxa" w:w="850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JS</w:t>
            </w:r>
          </w:p>
        </w:tc>
        <w:tc>
          <w:tcPr>
            <w:tcW w:type="dxa" w:w="850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TS</w:t>
            </w:r>
          </w:p>
        </w:tc>
        <w:tc>
          <w:tcPr>
            <w:tcW w:type="dxa" w:w="850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HTML</w:t>
            </w:r>
          </w:p>
        </w:tc>
        <w:tc>
          <w:tcPr>
            <w:tcW w:type="dxa" w:w="850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Git</w:t>
            </w:r>
          </w:p>
        </w:tc>
        <w:tc>
          <w:tcPr>
            <w:tcW w:type="dxa" w:w="850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Node</w:t>
            </w:r>
          </w:p>
        </w:tc>
        <w:tc>
          <w:tcPr>
            <w:tcW w:type="dxa" w:w="850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SQL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9"/>
              </w:rPr>
              <w:t>React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9"/>
              </w:rPr>
              <w:t>Vue.js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9"/>
              </w:rPr>
              <w:t>Javascript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9"/>
              </w:rPr>
              <w:t>TypeScript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9"/>
              </w:rPr>
              <w:t>HTML/CSS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9"/>
              </w:rPr>
              <w:t>Git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9"/>
              </w:rPr>
              <w:t>Node.js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b/>
                <w:sz w:val="19"/>
              </w:rPr>
              <w:t>SQL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pPr>
              <w:spacing w:after="40"/>
              <w:jc w:val="right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0" w:after="240"/>
      </w:pPr>
      <w:r>
        <w:rPr>
          <w:color w:val="565B6E"/>
          <w:sz w:val="18"/>
        </w:rPr>
        <w:t>La case M[React][Vue.js] vaut zéro : les deux compétences ne sont jamais exigées ni déclarées ensemble. C'est le point de départ du raisonnement au second ordre.</w:t>
      </w:r>
    </w:p>
    <w:p>
      <w:r>
        <w:rPr>
          <w:b/>
          <w:sz w:val="22"/>
        </w:rPr>
        <w:t>La ligne de la matrice est le vecteur de la compétence</w:t>
      </w:r>
      <w:r>
        <w:rPr>
          <w:sz w:val="22"/>
        </w:rPr>
        <w:t xml:space="preserve"> — la phrase-clé de cette section.</w:t>
      </w:r>
    </w:p>
    <w:p>
      <w:pPr>
        <w:spacing w:before="20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v</w:t>
      </w:r>
      <w:r>
        <w:rPr>
          <w:rFonts w:ascii="Cambria Math" w:hAnsi="Cambria Math"/>
          <w:sz w:val="23"/>
          <w:vertAlign w:val="subscript"/>
        </w:rPr>
        <w:t>ctx</w:t>
      </w:r>
      <w:r>
        <w:rPr>
          <w:rFonts w:ascii="Cambria Math" w:hAnsi="Cambria Math"/>
          <w:sz w:val="23"/>
        </w:rPr>
        <w:t>(React)   =  { Javascript:5, Git:4, Node.js:3, SQL:2,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 xml:space="preserve">                      HTML/CSS:2, PostgreSQL:2, Malagasy:1, Docker:1 }</w:t>
      </w:r>
    </w:p>
    <w:p>
      <w:pPr>
        <w:spacing w:before="4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v</w:t>
      </w:r>
      <w:r>
        <w:rPr>
          <w:rFonts w:ascii="Cambria Math" w:hAnsi="Cambria Math"/>
          <w:sz w:val="23"/>
          <w:vertAlign w:val="subscript"/>
        </w:rPr>
        <w:t>ctx</w:t>
      </w:r>
      <w:r>
        <w:rPr>
          <w:rFonts w:ascii="Cambria Math" w:hAnsi="Cambria Math"/>
          <w:sz w:val="23"/>
        </w:rPr>
        <w:t>(Vue.js)  =  { Javascript:2, HTML/CSS:2, Git:2 }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3 · </w:t>
      </w:r>
      <w:r>
        <w:rPr>
          <w:b/>
          <w:sz w:val="23"/>
        </w:rPr>
        <w:t>Compter les apparitions</w:t>
      </w:r>
    </w:p>
    <w:p>
      <w:pPr>
        <w:spacing w:before="20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n(a)  =  #{ C ∈ 𝒳  :  a ∈ C }</w:t>
      </w:r>
    </w:p>
    <w:p>
      <w:r>
        <w:rPr>
          <w:sz w:val="22"/>
        </w:rPr>
        <w:t xml:space="preserve">À distinguer soigneusement de </w:t>
      </w:r>
      <w:r>
        <w:rPr>
          <w:rFonts w:ascii="Consolas" w:hAnsi="Consolas"/>
          <w:sz w:val="20"/>
        </w:rPr>
        <w:t>M</w:t>
      </w:r>
      <w:r>
        <w:rPr>
          <w:sz w:val="22"/>
        </w:rPr>
        <w:t xml:space="preserve"> : </w:t>
      </w:r>
      <w:r>
        <w:rPr>
          <w:rFonts w:ascii="Consolas" w:hAnsi="Consolas"/>
          <w:sz w:val="20"/>
        </w:rPr>
        <w:t>n(a)</w:t>
      </w:r>
      <w:r>
        <w:rPr>
          <w:sz w:val="22"/>
        </w:rPr>
        <w:t xml:space="preserve"> compte les contextes où </w:t>
      </w:r>
      <w:r>
        <w:rPr>
          <w:rFonts w:ascii="Consolas" w:hAnsi="Consolas"/>
          <w:sz w:val="20"/>
        </w:rPr>
        <w:t>a</w:t>
      </w:r>
      <w:r>
        <w:rPr>
          <w:sz w:val="22"/>
        </w:rPr>
        <w:t xml:space="preserve"> figure, indépendamment de toute autre compétence. C'est la mesure du </w:t>
      </w:r>
      <w:r>
        <w:rPr>
          <w:b/>
          <w:sz w:val="22"/>
        </w:rPr>
        <w:t>volume de preuves</w:t>
      </w:r>
      <w:r>
        <w:rPr>
          <w:sz w:val="22"/>
        </w:rPr>
        <w:t xml:space="preserve"> disponible. Sur le corpus : </w:t>
      </w:r>
      <w:r>
        <w:rPr>
          <w:rFonts w:ascii="Consolas" w:hAnsi="Consolas"/>
          <w:sz w:val="20"/>
        </w:rPr>
        <w:t>n(React) = 6</w:t>
      </w:r>
      <w:r>
        <w:rPr>
          <w:sz w:val="22"/>
        </w:rPr>
        <w:t xml:space="preserve">, </w:t>
      </w:r>
      <w:r>
        <w:rPr>
          <w:rFonts w:ascii="Consolas" w:hAnsi="Consolas"/>
          <w:sz w:val="20"/>
        </w:rPr>
        <w:t>n(Vue.js) = 2</w:t>
      </w:r>
      <w:r>
        <w:rPr>
          <w:sz w:val="22"/>
        </w:rPr>
        <w:t xml:space="preserve">, </w:t>
      </w:r>
      <w:r>
        <w:rPr>
          <w:rFonts w:ascii="Consolas" w:hAnsi="Consolas"/>
          <w:sz w:val="20"/>
        </w:rPr>
        <w:t>n(Git) = 18</w:t>
      </w:r>
      <w:r>
        <w:rPr>
          <w:sz w:val="22"/>
        </w:rPr>
        <w:t xml:space="preserve">, </w:t>
      </w:r>
      <w:r>
        <w:rPr>
          <w:rFonts w:ascii="Consolas" w:hAnsi="Consolas"/>
          <w:sz w:val="20"/>
        </w:rPr>
        <w:t>n(SQL) = 11</w:t>
      </w:r>
      <w:r>
        <w:rPr>
          <w:sz w:val="22"/>
        </w:rPr>
        <w:t>.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4 · </w:t>
      </w:r>
      <w:r>
        <w:rPr>
          <w:b/>
          <w:sz w:val="23"/>
        </w:rPr>
        <w:t>Le cosinus du second ordre</w:t>
      </w:r>
    </w:p>
    <w:p>
      <w:pPr>
        <w:spacing w:before="20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cos</w:t>
      </w:r>
      <w:r>
        <w:rPr>
          <w:rFonts w:ascii="Cambria Math" w:hAnsi="Cambria Math"/>
          <w:sz w:val="23"/>
          <w:vertAlign w:val="subscript"/>
        </w:rPr>
        <w:t>ctx</w:t>
      </w:r>
      <w:r>
        <w:rPr>
          <w:rFonts w:ascii="Cambria Math" w:hAnsi="Cambria Math"/>
          <w:sz w:val="23"/>
        </w:rPr>
        <w:t>(a, b)  =  Σ</w:t>
      </w:r>
      <w:r>
        <w:rPr>
          <w:rFonts w:ascii="Cambria Math" w:hAnsi="Cambria Math"/>
          <w:sz w:val="23"/>
          <w:vertAlign w:val="subscript"/>
        </w:rPr>
        <w:t>i</w:t>
      </w:r>
      <w:r>
        <w:rPr>
          <w:rFonts w:ascii="Cambria Math" w:hAnsi="Cambria Math"/>
          <w:sz w:val="23"/>
        </w:rPr>
        <w:t xml:space="preserve"> M[a][i] · M[b][i]   ⁄   ( ‖v</w:t>
      </w:r>
      <w:r>
        <w:rPr>
          <w:rFonts w:ascii="Cambria Math" w:hAnsi="Cambria Math"/>
          <w:sz w:val="23"/>
          <w:vertAlign w:val="subscript"/>
        </w:rPr>
        <w:t>ctx</w:t>
      </w:r>
      <w:r>
        <w:rPr>
          <w:rFonts w:ascii="Cambria Math" w:hAnsi="Cambria Math"/>
          <w:sz w:val="23"/>
        </w:rPr>
        <w:t>(a)‖ · ‖v</w:t>
      </w:r>
      <w:r>
        <w:rPr>
          <w:rFonts w:ascii="Cambria Math" w:hAnsi="Cambria Math"/>
          <w:sz w:val="23"/>
          <w:vertAlign w:val="subscript"/>
        </w:rPr>
        <w:t>ctx</w:t>
      </w:r>
      <w:r>
        <w:rPr>
          <w:rFonts w:ascii="Cambria Math" w:hAnsi="Cambria Math"/>
          <w:sz w:val="23"/>
        </w:rPr>
        <w:t>(b)‖ )</w:t>
      </w:r>
    </w:p>
    <w:p>
      <w:r>
        <w:rPr>
          <w:b/>
          <w:sz w:val="22"/>
        </w:rPr>
        <w:t>Pourquoi le second ordre — le cœur de la contribution.</w:t>
      </w:r>
      <w:r>
        <w:rPr>
          <w:sz w:val="22"/>
        </w:rPr>
        <w:t xml:space="preserve"> La co-occurrence directe </w:t>
      </w:r>
      <w:r>
        <w:rPr>
          <w:rFonts w:ascii="Consolas" w:hAnsi="Consolas"/>
          <w:sz w:val="20"/>
        </w:rPr>
        <w:t>M[a][b]</w:t>
      </w:r>
      <w:r>
        <w:rPr>
          <w:sz w:val="22"/>
        </w:rPr>
        <w:t xml:space="preserve"> ne peut pas fonctionner ici : deux compétences substituables sont des alternatives, une équipe prend l'une </w:t>
      </w:r>
      <w:r>
        <w:rPr>
          <w:i/>
          <w:sz w:val="22"/>
        </w:rPr>
        <w:t>ou</w:t>
      </w:r>
      <w:r>
        <w:rPr>
          <w:sz w:val="22"/>
        </w:rPr>
        <w:t xml:space="preserve"> l'autre. </w:t>
      </w:r>
      <w:r>
        <w:rPr>
          <w:rFonts w:ascii="Consolas" w:hAnsi="Consolas"/>
          <w:sz w:val="20"/>
        </w:rPr>
        <w:t>M[React][Vue.js] = 0</w:t>
      </w:r>
      <w:r>
        <w:rPr>
          <w:sz w:val="22"/>
        </w:rPr>
        <w:t xml:space="preserve">. Un raisonnement au premier ordre conclurait qu'elles n'ont aucun rapport — l'inverse exact de la réalité. On compare donc les </w:t>
      </w:r>
      <w:r>
        <w:rPr>
          <w:b/>
          <w:sz w:val="22"/>
        </w:rPr>
        <w:t>profils</w:t>
      </w:r>
      <w:r>
        <w:rPr>
          <w:sz w:val="22"/>
        </w:rPr>
        <w:t xml:space="preserve"> de co-occurrence, et non la co-occurrence elle-même.</w:t>
      </w:r>
    </w:p>
    <w:p>
      <w:r>
        <w:rPr>
          <w:b/>
          <w:sz w:val="22"/>
        </w:rPr>
        <w:t>Application chiffrée.</w:t>
      </w:r>
    </w:p>
    <w:p>
      <w:pPr>
        <w:spacing w:before="20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produit scalaire :   Javascript  5 × 2 = 10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 xml:space="preserve">                     HTML/CSS    2 × 2 =  4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 xml:space="preserve">                     Git         4 × 2 =  8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 xml:space="preserve">                     (Node.js, SQL, PostgreSQL, Malagasy, Docker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 xml:space="preserve">                      absentes chez Vue.js → produits nuls)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 xml:space="preserve">                                       Σ = 22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‖v</w:t>
      </w:r>
      <w:r>
        <w:rPr>
          <w:rFonts w:ascii="Cambria Math" w:hAnsi="Cambria Math"/>
          <w:sz w:val="23"/>
          <w:vertAlign w:val="subscript"/>
        </w:rPr>
        <w:t>ctx</w:t>
      </w:r>
      <w:r>
        <w:rPr>
          <w:rFonts w:ascii="Cambria Math" w:hAnsi="Cambria Math"/>
          <w:sz w:val="23"/>
        </w:rPr>
        <w:t>(React)‖  = √(25+16+9+4+4+4+1+1) = √64 = 8,0000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‖v</w:t>
      </w:r>
      <w:r>
        <w:rPr>
          <w:rFonts w:ascii="Cambria Math" w:hAnsi="Cambria Math"/>
          <w:sz w:val="23"/>
          <w:vertAlign w:val="subscript"/>
        </w:rPr>
        <w:t>ctx</w:t>
      </w:r>
      <w:r>
        <w:rPr>
          <w:rFonts w:ascii="Cambria Math" w:hAnsi="Cambria Math"/>
          <w:sz w:val="23"/>
        </w:rPr>
        <w:t>(Vue.js)‖ = √(4+4+4)             = √12 = 3,4641</w:t>
      </w:r>
    </w:p>
    <w:p>
      <w:pPr>
        <w:spacing w:before="4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cos</w:t>
      </w:r>
      <w:r>
        <w:rPr>
          <w:rFonts w:ascii="Cambria Math" w:hAnsi="Cambria Math"/>
          <w:sz w:val="23"/>
          <w:vertAlign w:val="subscript"/>
        </w:rPr>
        <w:t>ctx</w:t>
      </w:r>
      <w:r>
        <w:rPr>
          <w:rFonts w:ascii="Cambria Math" w:hAnsi="Cambria Math"/>
          <w:sz w:val="23"/>
        </w:rPr>
        <w:t xml:space="preserve">  =  22 ⁄ ( 8,0000 × 3,4641 )  =  22 ⁄ 27,713  =  0,7939</w:t>
      </w:r>
    </w:p>
    <w:p>
      <w:r>
        <w:rPr>
          <w:sz w:val="22"/>
        </w:rPr>
        <w:t>Le cosinus n'atteint pas 1 parce que React fréquente cinq voisines que Vue.js ne connaît pas. Ce n'est pas un défaut de mesure : Vue.js est moins documentée, et le résultat le dit.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5 · </w:t>
      </w:r>
      <w:r>
        <w:rPr>
          <w:b/>
          <w:sz w:val="23"/>
        </w:rPr>
        <w:t>Amortir par la confiance</w:t>
      </w:r>
    </w:p>
    <w:p>
      <w:pPr>
        <w:spacing w:before="20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conf(a, b)  =  n ⁄ ( n + K )     avec  n = min( n(a), n(b) )  et  K = 5</w:t>
      </w:r>
    </w:p>
    <w:p>
      <w:r>
        <w:rPr>
          <w:b/>
          <w:sz w:val="22"/>
        </w:rPr>
        <w:t>L'échec qui a motivé cette étape :</w:t>
      </w:r>
      <w:r>
        <w:rPr>
          <w:sz w:val="22"/>
        </w:rPr>
        <w:t xml:space="preserve"> </w:t>
      </w:r>
      <w:r>
        <w:rPr>
          <w:rFonts w:ascii="Consolas" w:hAnsi="Consolas"/>
          <w:sz w:val="20"/>
        </w:rPr>
        <w:t>Génie civil ↔ Génie textile = 0,979</w:t>
      </w:r>
      <w:r>
        <w:rPr>
          <w:sz w:val="22"/>
        </w:rPr>
        <w:t xml:space="preserve">. Deux compétences vues deux fois chacune, partageant leur unique voisine. Le cosinus ne distingue pas une similarité établie sur vingt observations d'une établie sur une seule — deux vecteurs minuscules aux rares voisines communes obtiennent mécaniquement un score proche de 1. C'était une </w:t>
      </w:r>
      <w:r>
        <w:rPr>
          <w:b/>
          <w:sz w:val="22"/>
        </w:rPr>
        <w:t>coïncidence de rareté</w:t>
      </w:r>
      <w:r>
        <w:rPr>
          <w:sz w:val="22"/>
        </w:rPr>
        <w:t>, pas une proximité.</w:t>
      </w:r>
    </w:p>
    <w:p>
      <w:r>
        <w:rPr>
          <w:b/>
          <w:sz w:val="22"/>
        </w:rPr>
        <w:t>Le min est délibéré :</w:t>
      </w:r>
      <w:r>
        <w:rPr>
          <w:sz w:val="22"/>
        </w:rPr>
        <w:t xml:space="preserve"> une similarité ne peut pas être plus fiable que la compétence la moins documentée des deux. Le maillon faible borne la confiance.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 (observations)</w:t>
            </w:r>
          </w:p>
        </w:tc>
        <w:tc>
          <w:tcPr>
            <w:tcW w:type="dxa" w:w="1701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conf</w:t>
            </w:r>
          </w:p>
        </w:tc>
        <w:tc>
          <w:tcPr>
            <w:tcW w:type="dxa" w:w="2835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Part du score conservée</w:t>
            </w:r>
          </w:p>
        </w:tc>
      </w:tr>
      <w:tr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0,167</w:t>
            </w:r>
          </w:p>
        </w:tc>
        <w:tc>
          <w:tcPr>
            <w:tcW w:type="dxa" w:w="2835"/>
          </w:tcPr>
          <w:p>
            <w:pPr>
              <w:spacing w:after="40"/>
              <w:jc w:val="right"/>
            </w:pPr>
            <w:r>
              <w:rPr>
                <w:sz w:val="19"/>
              </w:rPr>
              <w:t>17 %</w:t>
            </w:r>
          </w:p>
        </w:tc>
      </w:tr>
      <w:tr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0,286</w:t>
            </w:r>
          </w:p>
        </w:tc>
        <w:tc>
          <w:tcPr>
            <w:tcW w:type="dxa" w:w="2835"/>
          </w:tcPr>
          <w:p>
            <w:pPr>
              <w:spacing w:after="40"/>
              <w:jc w:val="right"/>
            </w:pPr>
            <w:r>
              <w:rPr>
                <w:sz w:val="19"/>
              </w:rPr>
              <w:t>29 %</w:t>
            </w:r>
          </w:p>
        </w:tc>
      </w:tr>
      <w:tr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0,500</w:t>
            </w:r>
          </w:p>
        </w:tc>
        <w:tc>
          <w:tcPr>
            <w:tcW w:type="dxa" w:w="2835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50 %</w:t>
            </w:r>
          </w:p>
        </w:tc>
      </w:tr>
      <w:tr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20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0,800</w:t>
            </w:r>
          </w:p>
        </w:tc>
        <w:tc>
          <w:tcPr>
            <w:tcW w:type="dxa" w:w="2835"/>
          </w:tcPr>
          <w:p>
            <w:pPr>
              <w:spacing w:after="40"/>
              <w:jc w:val="right"/>
            </w:pPr>
            <w:r>
              <w:rPr>
                <w:sz w:val="19"/>
              </w:rPr>
              <w:t>80 %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La propriété à mettre en avant :</w:t>
      </w:r>
      <w:r>
        <w:rPr>
          <w:sz w:val="22"/>
        </w:rPr>
        <w:t xml:space="preserve"> </w:t>
      </w:r>
      <w:r>
        <w:rPr>
          <w:rFonts w:ascii="Consolas" w:hAnsi="Consolas"/>
          <w:sz w:val="20"/>
        </w:rPr>
        <w:t>conf → 1</w:t>
      </w:r>
      <w:r>
        <w:rPr>
          <w:sz w:val="22"/>
        </w:rPr>
        <w:t xml:space="preserve"> quand </w:t>
      </w:r>
      <w:r>
        <w:rPr>
          <w:rFonts w:ascii="Consolas" w:hAnsi="Consolas"/>
          <w:sz w:val="20"/>
        </w:rPr>
        <w:t>n → ∞</w:t>
      </w:r>
      <w:r>
        <w:rPr>
          <w:sz w:val="22"/>
        </w:rPr>
        <w:t xml:space="preserve">. L'amortissement </w:t>
      </w:r>
      <w:r>
        <w:rPr>
          <w:b/>
          <w:sz w:val="22"/>
        </w:rPr>
        <w:t>s'efface de lui-même</w:t>
      </w:r>
      <w:r>
        <w:rPr>
          <w:sz w:val="22"/>
        </w:rPr>
        <w:t xml:space="preserve"> à mesure que le corpus s'étoffe. Ce n'est pas un correctif permanent mais une prudence transitoire — et c'est ce qui le rend défendable. La constante </w:t>
      </w:r>
      <w:r>
        <w:rPr>
          <w:rFonts w:ascii="Consolas" w:hAnsi="Consolas"/>
          <w:sz w:val="20"/>
        </w:rPr>
        <w:t>K = 5</w:t>
      </w:r>
      <w:r>
        <w:rPr>
          <w:sz w:val="22"/>
        </w:rPr>
        <w:t xml:space="preserve"> se lit comme le nombre d'observations à partir duquel on accorde la moitié de sa confiance.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6 · </w:t>
      </w:r>
      <w:r>
        <w:rPr>
          <w:b/>
          <w:sz w:val="23"/>
        </w:rPr>
        <w:t>Pénaliser la complémentarité</w:t>
      </w:r>
    </w:p>
    <w:p>
      <w:pPr>
        <w:spacing w:before="20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taux(a, b)   =  min( 1 ,  M[a][b] ⁄ n )</w:t>
      </w:r>
    </w:p>
    <w:p>
      <w:pPr>
        <w:spacing w:before="4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subst(a, b)  =  1  −  λ × taux(a, b)          avec  λ = 0,8</w:t>
      </w:r>
    </w:p>
    <w:p>
      <w:r>
        <w:rPr>
          <w:b/>
          <w:sz w:val="22"/>
        </w:rPr>
        <w:t>L'échec qui a motivé cette étape :</w:t>
      </w:r>
      <w:r>
        <w:rPr>
          <w:sz w:val="22"/>
        </w:rPr>
        <w:t xml:space="preserve"> le moteur créditait un étudiant maîtrisant </w:t>
      </w:r>
      <w:r>
        <w:rPr>
          <w:b/>
          <w:sz w:val="22"/>
        </w:rPr>
        <w:t>Git</w:t>
      </w:r>
      <w:r>
        <w:rPr>
          <w:sz w:val="22"/>
        </w:rPr>
        <w:t xml:space="preserve"> pour une offre exigeant </w:t>
      </w:r>
      <w:r>
        <w:rPr>
          <w:b/>
          <w:sz w:val="22"/>
        </w:rPr>
        <w:t>SQL</w:t>
      </w:r>
      <w:r>
        <w:rPr>
          <w:sz w:val="22"/>
        </w:rPr>
        <w:t>, en justifiant « Git est proche de SQL ». La proximité statistique était réelle ; la conclusion était fausse.</w:t>
      </w:r>
    </w:p>
    <w:p>
      <w:r>
        <w:rPr>
          <w:sz w:val="22"/>
        </w:rPr>
        <w:t xml:space="preserve">Le cosinus du second ordre mesure « apparaît dans des contextes semblables ». Or cela recouvre </w:t>
      </w:r>
      <w:r>
        <w:rPr>
          <w:b/>
          <w:sz w:val="22"/>
        </w:rPr>
        <w:t>deux relations distinctes</w:t>
      </w:r>
      <w:r>
        <w:rPr>
          <w:sz w:val="22"/>
        </w:rPr>
        <w:t xml:space="preserve">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Relation</w:t>
            </w:r>
          </w:p>
        </w:tc>
        <w:tc>
          <w:tcPr>
            <w:tcW w:type="dxa" w:w="2268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Exemple</w:t>
            </w:r>
          </w:p>
        </w:tc>
        <w:tc>
          <w:tcPr>
            <w:tcW w:type="dxa" w:w="3685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Utilisable pour créditer ?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b/>
                <w:sz w:val="19"/>
              </w:rPr>
              <w:t>Substituabilité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 xml:space="preserve">React </w:t>
            </w:r>
            <w:r>
              <w:rPr>
                <w:i/>
                <w:sz w:val="19"/>
              </w:rPr>
              <w:t>ou</w:t>
            </w:r>
            <w:r>
              <w:rPr>
                <w:sz w:val="19"/>
              </w:rPr>
              <w:t xml:space="preserve"> Vue.js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oui — l'une remplace l'autre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b/>
                <w:sz w:val="19"/>
              </w:rPr>
              <w:t>Complémentarité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 xml:space="preserve">Git </w:t>
            </w:r>
            <w:r>
              <w:rPr>
                <w:i/>
                <w:sz w:val="19"/>
              </w:rPr>
              <w:t>et</w:t>
            </w:r>
            <w:r>
              <w:rPr>
                <w:sz w:val="19"/>
              </w:rPr>
              <w:t xml:space="preserve"> SQL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non — l'une ne remplace pas l'autre</w:t>
            </w:r>
          </w:p>
        </w:tc>
      </w:tr>
    </w:tbl>
    <w:p>
      <w:pPr>
        <w:spacing w:after="40"/>
      </w:pPr>
    </w:p>
    <w:p>
      <w:r>
        <w:rPr>
          <w:sz w:val="22"/>
        </w:rPr>
        <w:t xml:space="preserve">Le signal qui les sépare est déjà dans la matrice : </w:t>
      </w:r>
      <w:r>
        <w:rPr>
          <w:b/>
          <w:sz w:val="22"/>
        </w:rPr>
        <w:t>deux compétences substituables ne se rencontrent pas, deux compétences complémentaires se rencontrent précisément</w:t>
      </w:r>
      <w:r>
        <w:rPr>
          <w:sz w:val="22"/>
        </w:rPr>
        <w:t xml:space="preserve">. D'où l'usage de </w:t>
      </w:r>
      <w:r>
        <w:rPr>
          <w:rFonts w:ascii="Consolas" w:hAnsi="Consolas"/>
          <w:sz w:val="20"/>
        </w:rPr>
        <w:t>M[a][b]</w:t>
      </w:r>
      <w:r>
        <w:rPr>
          <w:sz w:val="22"/>
        </w:rPr>
        <w:t xml:space="preserve"> — la case même que le second ordre ignorait — comme pénalité.</w:t>
      </w:r>
    </w:p>
    <w:p>
      <w:r>
        <w:rPr>
          <w:sz w:val="22"/>
        </w:rPr>
        <w:t xml:space="preserve">Le coefficient </w:t>
      </w:r>
      <w:r>
        <w:rPr>
          <w:rFonts w:ascii="Consolas" w:hAnsi="Consolas"/>
          <w:sz w:val="20"/>
        </w:rPr>
        <w:t>λ = 0,8</w:t>
      </w:r>
      <w:r>
        <w:rPr>
          <w:sz w:val="22"/>
        </w:rPr>
        <w:t xml:space="preserve"> laisse un </w:t>
      </w:r>
      <w:r>
        <w:rPr>
          <w:b/>
          <w:sz w:val="22"/>
        </w:rPr>
        <w:t>plancher de 0,2</w:t>
      </w:r>
      <w:r>
        <w:rPr>
          <w:sz w:val="22"/>
        </w:rPr>
        <w:t xml:space="preserve"> : même deux compétences toujours exigées ensemble conservent un cinquième de leur similarité observée. On atténue, on n'annule pas.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2835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Paire</w:t>
            </w:r>
          </w:p>
        </w:tc>
        <w:tc>
          <w:tcPr>
            <w:tcW w:type="dxa" w:w="1417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M[a][b]</w:t>
            </w:r>
          </w:p>
        </w:tc>
        <w:tc>
          <w:tcPr>
            <w:tcW w:type="dxa" w:w="1134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</w:t>
            </w:r>
          </w:p>
        </w:tc>
        <w:tc>
          <w:tcPr>
            <w:tcW w:type="dxa" w:w="1417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taux</w:t>
            </w:r>
          </w:p>
        </w:tc>
        <w:tc>
          <w:tcPr>
            <w:tcW w:type="dxa" w:w="1417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subst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React / Vue.js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1,000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Git / SQL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>
              <w:rPr>
                <w:sz w:val="19"/>
              </w:rPr>
              <w:t>11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0,455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0,636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React / Node.js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0,750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0,400</w:t>
            </w:r>
          </w:p>
        </w:tc>
      </w:tr>
    </w:tbl>
    <w:p>
      <w:pPr>
        <w:spacing w:after="40"/>
      </w:pPr>
    </w:p>
    <w:p>
      <w:pPr>
        <w:spacing w:before="240" w:after="40"/>
        <w:shd w:val="clear" w:color="auto" w:fill="F0E6CF"/>
        <w:pBdr>
          <w:left w:val="single" w:sz="24" w:space="8" w:color="8A6516"/>
        </w:pBdr>
      </w:pPr>
      <w:r>
        <w:rPr>
          <w:b/>
          <w:sz w:val="22"/>
        </w:rPr>
        <w:t>Limite à assumer</w:t>
      </w:r>
    </w:p>
    <w:p>
      <w:pPr>
        <w:spacing w:after="200"/>
        <w:shd w:val="clear" w:color="auto" w:fill="F0E6CF"/>
        <w:pBdr>
          <w:left w:val="single" w:sz="24" w:space="8" w:color="8A6516"/>
        </w:pBdr>
      </w:pPr>
      <w:r>
        <w:rPr>
          <w:sz w:val="21"/>
        </w:rPr>
        <w:t xml:space="preserve">Cette correction est </w:t>
      </w:r>
      <w:r>
        <w:rPr>
          <w:b/>
          <w:sz w:val="21"/>
        </w:rPr>
        <w:t>insuffisante seule</w:t>
      </w:r>
      <w:r>
        <w:rPr>
          <w:sz w:val="21"/>
        </w:rPr>
        <w:t xml:space="preserve">. Git et SQL figurent dans </w:t>
      </w:r>
      <w:r>
        <w:rPr>
          <w:i/>
          <w:sz w:val="21"/>
        </w:rPr>
        <w:t>les mêmes</w:t>
      </w:r>
      <w:r>
        <w:rPr>
          <w:sz w:val="21"/>
        </w:rPr>
        <w:t xml:space="preserve"> offres — aucun décompte de contextes, si raffiné soit-il, ne peut les séparer. C'est ce qui a rendu nécessaire un signal indépendant de la co-occurrence, donc la Source 1.</w:t>
      </w:r>
    </w:p>
    <w:p>
      <w:r>
        <w:rPr>
          <w:b/>
          <w:sz w:val="22"/>
        </w:rPr>
        <w:t>Le terme observé complet</w:t>
      </w:r>
      <w:r>
        <w:rPr>
          <w:sz w:val="22"/>
        </w:rPr>
        <w:t xml:space="preserve"> réunit les trois grandeurs de cette source :</w:t>
      </w:r>
    </w:p>
    <w:p>
      <w:pPr>
        <w:spacing w:before="20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obs(a, b)  =  cos</w:t>
      </w:r>
      <w:r>
        <w:rPr>
          <w:rFonts w:ascii="Cambria Math" w:hAnsi="Cambria Math"/>
          <w:sz w:val="23"/>
          <w:vertAlign w:val="subscript"/>
        </w:rPr>
        <w:t>ctx</w:t>
      </w:r>
      <w:r>
        <w:rPr>
          <w:rFonts w:ascii="Cambria Math" w:hAnsi="Cambria Math"/>
          <w:sz w:val="23"/>
        </w:rPr>
        <w:t>(a, b)  ×  conf(a, b)  ×  subst(a, b)</w:t>
      </w:r>
    </w:p>
    <w:p>
      <w:r>
        <w:rPr>
          <w:sz w:val="22"/>
        </w:rPr>
        <w:t xml:space="preserve">Pour React / Vue.js : </w:t>
      </w:r>
      <w:r>
        <w:rPr>
          <w:rFonts w:ascii="Consolas" w:hAnsi="Consolas"/>
          <w:sz w:val="20"/>
        </w:rPr>
        <w:t>0,7939 × 0,2857 × 1,000 = 0,2268</w:t>
      </w:r>
      <w:r>
        <w:rPr>
          <w:sz w:val="22"/>
        </w:rPr>
        <w:t>.</w:t>
      </w:r>
    </w:p>
    <w:p>
      <w:r>
        <w:br w:type="page"/>
      </w:r>
    </w:p>
    <w:p>
      <w:pPr>
        <w:pStyle w:val="Heading2"/>
      </w:pPr>
      <w:r>
        <w:t>Assemblage — les trois sources se rejoignent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1 · </w:t>
      </w:r>
      <w:r>
        <w:rPr>
          <w:b/>
          <w:sz w:val="23"/>
        </w:rPr>
        <w:t>La somme pondérée</w:t>
      </w:r>
    </w:p>
    <w:p>
      <w:pPr>
        <w:spacing w:before="20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S(a, b)  =  ω</w:t>
      </w:r>
      <w:r>
        <w:rPr>
          <w:rFonts w:ascii="Cambria Math" w:hAnsi="Cambria Math"/>
          <w:sz w:val="23"/>
          <w:vertAlign w:val="subscript"/>
        </w:rPr>
        <w:t>txt</w:t>
      </w:r>
      <w:r>
        <w:rPr>
          <w:rFonts w:ascii="Cambria Math" w:hAnsi="Cambria Math"/>
          <w:sz w:val="23"/>
        </w:rPr>
        <w:t xml:space="preserve"> · cos</w:t>
      </w:r>
      <w:r>
        <w:rPr>
          <w:rFonts w:ascii="Cambria Math" w:hAnsi="Cambria Math"/>
          <w:sz w:val="23"/>
          <w:vertAlign w:val="subscript"/>
        </w:rPr>
        <w:t>txt</w:t>
      </w:r>
      <w:r>
        <w:rPr>
          <w:rFonts w:ascii="Cambria Math" w:hAnsi="Cambria Math"/>
          <w:sz w:val="23"/>
        </w:rPr>
        <w:t>(a,b)  +  ω</w:t>
      </w:r>
      <w:r>
        <w:rPr>
          <w:rFonts w:ascii="Cambria Math" w:hAnsi="Cambria Math"/>
          <w:sz w:val="23"/>
          <w:vertAlign w:val="subscript"/>
        </w:rPr>
        <w:t>obs</w:t>
      </w:r>
      <w:r>
        <w:rPr>
          <w:rFonts w:ascii="Cambria Math" w:hAnsi="Cambria Math"/>
          <w:sz w:val="23"/>
        </w:rPr>
        <w:t xml:space="preserve"> · obs(a,b)  +  ω</w:t>
      </w:r>
      <w:r>
        <w:rPr>
          <w:rFonts w:ascii="Cambria Math" w:hAnsi="Cambria Math"/>
          <w:sz w:val="23"/>
          <w:vertAlign w:val="subscript"/>
        </w:rPr>
        <w:t>cat</w:t>
      </w:r>
      <w:r>
        <w:rPr>
          <w:rFonts w:ascii="Cambria Math" w:hAnsi="Cambria Math"/>
          <w:sz w:val="23"/>
        </w:rPr>
        <w:t xml:space="preserve"> · δ(a,b)</w:t>
      </w:r>
    </w:p>
    <w:p>
      <w:pPr>
        <w:spacing w:before="4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 xml:space="preserve">         =  0,60 · cos</w:t>
      </w:r>
      <w:r>
        <w:rPr>
          <w:rFonts w:ascii="Cambria Math" w:hAnsi="Cambria Math"/>
          <w:sz w:val="23"/>
          <w:vertAlign w:val="subscript"/>
        </w:rPr>
        <w:t>txt</w:t>
      </w:r>
      <w:r>
        <w:rPr>
          <w:rFonts w:ascii="Cambria Math" w:hAnsi="Cambria Math"/>
          <w:sz w:val="23"/>
        </w:rPr>
        <w:t xml:space="preserve">  +  0,15 · obs  +  0,25 · δ</w:t>
      </w:r>
    </w:p>
    <w:p>
      <w:r>
        <w:rPr>
          <w:b/>
          <w:sz w:val="22"/>
        </w:rPr>
        <w:t>Propriété à énoncer :</w:t>
      </w:r>
      <w:r>
        <w:rPr>
          <w:sz w:val="22"/>
        </w:rPr>
        <w:t xml:space="preserve"> </w:t>
      </w:r>
      <w:r>
        <w:rPr>
          <w:rFonts w:ascii="Consolas" w:hAnsi="Consolas"/>
          <w:sz w:val="20"/>
        </w:rPr>
        <w:t>ω_txt + ω_obs + ω_cat = 1</w:t>
      </w:r>
      <w:r>
        <w:rPr>
          <w:sz w:val="22"/>
        </w:rPr>
        <w:t xml:space="preserve">, et chaque facteur appartient à </w:t>
      </w:r>
      <w:r>
        <w:rPr>
          <w:rFonts w:ascii="Consolas" w:hAnsi="Consolas"/>
          <w:sz w:val="20"/>
        </w:rPr>
        <w:t>[0, 1]</w:t>
      </w:r>
      <w:r>
        <w:rPr>
          <w:sz w:val="22"/>
        </w:rPr>
        <w:t xml:space="preserve">, donc </w:t>
      </w:r>
      <w:r>
        <w:rPr>
          <w:rFonts w:ascii="Consolas" w:hAnsi="Consolas"/>
          <w:sz w:val="20"/>
        </w:rPr>
        <w:t>S(a, b) ∈ [0, 1]</w:t>
      </w:r>
      <w:r>
        <w:rPr>
          <w:sz w:val="22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51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Terme</w:t>
            </w:r>
          </w:p>
        </w:tc>
        <w:tc>
          <w:tcPr>
            <w:tcW w:type="dxa" w:w="1020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Poids</w:t>
            </w:r>
          </w:p>
        </w:tc>
        <w:tc>
          <w:tcPr>
            <w:tcW w:type="dxa" w:w="4932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Rôle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Description (TF-IDF)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9"/>
              </w:rPr>
              <w:t>0,60</w:t>
            </w:r>
          </w:p>
        </w:tc>
        <w:tc>
          <w:tcPr>
            <w:tcW w:type="dxa" w:w="4932"/>
          </w:tcPr>
          <w:p>
            <w:pPr>
              <w:spacing w:after="40"/>
            </w:pPr>
            <w:r>
              <w:rPr>
                <w:sz w:val="19"/>
              </w:rPr>
              <w:t xml:space="preserve">Dense, disponible même sans aucune offre publiée. </w:t>
            </w:r>
            <w:r>
              <w:rPr>
                <w:b/>
                <w:sz w:val="19"/>
              </w:rPr>
              <w:t>Seul signal capable de séparer substituabilité et complémentarité.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Fréquentations observées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9"/>
              </w:rPr>
              <w:t>0,15</w:t>
            </w:r>
          </w:p>
        </w:tc>
        <w:tc>
          <w:tcPr>
            <w:tcW w:type="dxa" w:w="4932"/>
          </w:tcPr>
          <w:p>
            <w:pPr>
              <w:spacing w:after="40"/>
            </w:pPr>
            <w:r>
              <w:rPr>
                <w:sz w:val="19"/>
              </w:rPr>
              <w:t>Précis mais rare — 12 % de densité. Doublement amorti, par la confiance puis par la substituabilité.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A priori de catégorie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9"/>
              </w:rPr>
              <w:t>0,25</w:t>
            </w:r>
          </w:p>
        </w:tc>
        <w:tc>
          <w:tcPr>
            <w:tcW w:type="dxa" w:w="4932"/>
          </w:tcPr>
          <w:p>
            <w:pPr>
              <w:spacing w:after="40"/>
            </w:pPr>
            <w:r>
              <w:rPr>
                <w:sz w:val="19"/>
              </w:rPr>
              <w:t>N'oriente qu'en dernier recours. Non amorti, puisqu'il ne repose sur aucune observation.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Le poids majoritaire du texte est assumé, et c'est un résultat.</w:t>
      </w:r>
      <w:r>
        <w:rPr>
          <w:sz w:val="22"/>
        </w:rPr>
        <w:t xml:space="preserve"> À l'échelle actuelle du corpus, une description rédigée est plus fiable que 185 paires observées. Le rapport s'inversera quand la plateforme aura assez d'offres — ce basculement est lui-même une contribution à discuter, non une faiblesse à masquer.</w:t>
      </w:r>
    </w:p>
    <w:p>
      <w:pPr>
        <w:spacing w:before="280" w:after="80"/>
      </w:pPr>
      <w:r>
        <w:rPr>
          <w:b/>
          <w:color w:val="31356E"/>
          <w:sz w:val="23"/>
        </w:rPr>
        <w:t xml:space="preserve">Étape 2 · </w:t>
      </w:r>
      <w:r>
        <w:rPr>
          <w:b/>
          <w:sz w:val="23"/>
        </w:rPr>
        <w:t>Le seuil</w:t>
      </w:r>
    </w:p>
    <w:p>
      <w:pPr>
        <w:spacing w:before="20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>sim(a, b)  =  1                    si a = b</w:t>
      </w:r>
    </w:p>
    <w:p>
      <w:pPr>
        <w:spacing w:before="40" w:after="4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 xml:space="preserve">           =  0                    si S(a, b) &lt; τ        avec τ = 0,40</w:t>
      </w:r>
    </w:p>
    <w:p>
      <w:pPr>
        <w:spacing w:before="40" w:after="200"/>
        <w:ind w:left="567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3"/>
        </w:rPr>
        <w:t xml:space="preserve">           =  min( 1 , S(a,b) )    sinon</w:t>
      </w:r>
    </w:p>
    <w:p>
      <w:r>
        <w:rPr>
          <w:b/>
          <w:sz w:val="22"/>
        </w:rPr>
        <w:t>Le principe qui justifie le seuil :</w:t>
      </w:r>
      <w:r>
        <w:rPr>
          <w:sz w:val="22"/>
        </w:rPr>
        <w:t xml:space="preserve"> si une proximité n'inspire pas assez confiance pour être affichée à l'utilisateur, elle n'en inspire pas assez pour entrer dans le score. Un seul paramètre gouverne donc l'affichage </w:t>
      </w:r>
      <w:r>
        <w:rPr>
          <w:b/>
          <w:sz w:val="22"/>
        </w:rPr>
        <w:t>et</w:t>
      </w:r>
      <w:r>
        <w:rPr>
          <w:sz w:val="22"/>
        </w:rPr>
        <w:t xml:space="preserve"> le calcul — il n'existe pas deux seuils susceptibles de diverger.</w:t>
      </w:r>
    </w:p>
    <w:p>
      <w:r>
        <w:rPr>
          <w:sz w:val="22"/>
        </w:rPr>
        <w:t xml:space="preserve">Le rejet est </w:t>
      </w:r>
      <w:r>
        <w:rPr>
          <w:b/>
          <w:sz w:val="22"/>
        </w:rPr>
        <w:t>franc et non progressif</w:t>
      </w:r>
      <w:r>
        <w:rPr>
          <w:sz w:val="22"/>
        </w:rPr>
        <w:t xml:space="preserve"> : sous </w:t>
      </w:r>
      <w:r>
        <w:rPr>
          <w:rFonts w:ascii="Consolas" w:hAnsi="Consolas"/>
          <w:sz w:val="20"/>
        </w:rPr>
        <w:t>τ</w:t>
      </w:r>
      <w:r>
        <w:rPr>
          <w:sz w:val="22"/>
        </w:rPr>
        <w:t xml:space="preserve">, le résultat n'est pas atténué, il est mis à zéro. Le seuil a été calibré sur le corpus — à </w:t>
      </w:r>
      <w:r>
        <w:rPr>
          <w:rFonts w:ascii="Consolas" w:hAnsi="Consolas"/>
          <w:sz w:val="20"/>
        </w:rPr>
        <w:t>τ = 0,15</w:t>
      </w:r>
      <w:r>
        <w:rPr>
          <w:sz w:val="22"/>
        </w:rPr>
        <w:t>, le moteur créditait Git pour une offre exigeant SQL.</w:t>
      </w:r>
    </w:p>
    <w:p>
      <w:pPr>
        <w:pStyle w:val="Heading2"/>
      </w:pPr>
      <w:r>
        <w:t>Application complète — React / Vue.js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Source</w:t>
            </w:r>
          </w:p>
        </w:tc>
        <w:tc>
          <w:tcPr>
            <w:tcW w:type="dxa" w:w="2835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Grandeur</w:t>
            </w:r>
          </w:p>
        </w:tc>
        <w:tc>
          <w:tcPr>
            <w:tcW w:type="dxa" w:w="1417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Valeur</w:t>
            </w:r>
          </w:p>
        </w:tc>
        <w:tc>
          <w:tcPr>
            <w:tcW w:type="dxa" w:w="3118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Contribution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1 — Description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cos_txt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0,8019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 xml:space="preserve">0,60 × 0,8019 = </w:t>
            </w:r>
            <w:r>
              <w:rPr>
                <w:b/>
                <w:sz w:val="19"/>
              </w:rPr>
              <w:t>0,4811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3 — Fréquentations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cos_ctx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0,7939</w:t>
            </w:r>
          </w:p>
        </w:tc>
        <w:tc>
          <w:tcPr>
            <w:tcW w:type="dxa" w:w="3118"/>
          </w:tcPr>
          <w:p>
            <w:pPr>
              <w:spacing w:after="40"/>
            </w:pPr>
          </w:p>
        </w:tc>
      </w:tr>
      <w:tr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conf (n = 2)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0,2857</w:t>
            </w:r>
          </w:p>
        </w:tc>
        <w:tc>
          <w:tcPr>
            <w:tcW w:type="dxa" w:w="3118"/>
          </w:tcPr>
          <w:p>
            <w:pPr>
              <w:spacing w:after="40"/>
            </w:pPr>
          </w:p>
        </w:tc>
      </w:tr>
      <w:tr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subst (M = 0)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1,0000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 xml:space="preserve">0,15 × 0,2268 = </w:t>
            </w:r>
            <w:r>
              <w:rPr>
                <w:b/>
                <w:sz w:val="19"/>
              </w:rPr>
              <w:t>0,0340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2 — Catégorie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δ (Technique = Technique)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 xml:space="preserve">0,25 × 1 = </w:t>
            </w:r>
            <w:r>
              <w:rPr>
                <w:b/>
                <w:sz w:val="19"/>
              </w:rPr>
              <w:t>0,2500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19"/>
              </w:rPr>
              <w:t>Somme S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sz w:val="19"/>
              </w:rPr>
              <w:t>0,7651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S ≥ τ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sz w:val="19"/>
              </w:rPr>
              <w:t>sim = 0,765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Le contre-exemple, à faire figurer en regard.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Source</w:t>
            </w:r>
          </w:p>
        </w:tc>
        <w:tc>
          <w:tcPr>
            <w:tcW w:type="dxa" w:w="4535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Git / SQL</w:t>
            </w:r>
          </w:p>
        </w:tc>
        <w:tc>
          <w:tcPr>
            <w:tcW w:type="dxa" w:w="1701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Contribution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1 — Description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cos_txt = 0 — aucun terme commun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0,0000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3 — Fréquentations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0,340 × 0,688 × 0,636 = 0,1488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0,0223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2 — Catégorie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δ = 0 — Technique ≠ Données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0,0000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b/>
                <w:sz w:val="19"/>
              </w:rPr>
              <w:t>S = 0,0223 &lt; τ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/>
                <w:sz w:val="19"/>
              </w:rPr>
              <w:t>sim = 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Propriétés du modèle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sim(a, b) = sim(b, a)</w:t>
      </w:r>
      <w:r>
        <w:rPr>
          <w:sz w:val="22"/>
        </w:rPr>
        <w:t xml:space="preserve"> — </w:t>
      </w:r>
      <w:r>
        <w:rPr>
          <w:b/>
          <w:sz w:val="22"/>
        </w:rPr>
        <w:t>symétrie</w:t>
      </w:r>
      <w:r>
        <w:rPr>
          <w:sz w:val="22"/>
        </w:rPr>
        <w:t xml:space="preserve">, héritée de celle de </w:t>
      </w:r>
      <w:r>
        <w:rPr>
          <w:rFonts w:ascii="Consolas" w:hAnsi="Consolas"/>
          <w:sz w:val="20"/>
        </w:rPr>
        <w:t>M</w:t>
      </w:r>
      <w:r>
        <w:rPr>
          <w:sz w:val="22"/>
        </w:rPr>
        <w:t xml:space="preserve"> et du cosinus.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sim(a, a) = 1</w:t>
      </w:r>
      <w:r>
        <w:rPr>
          <w:sz w:val="22"/>
        </w:rPr>
        <w:t xml:space="preserve"> — par court-circuit explicite, avant tout calcul.</w:t>
      </w:r>
    </w:p>
    <w:p>
      <w:pPr>
        <w:pStyle w:val="ListBullet"/>
        <w:spacing w:after="60"/>
      </w:pPr>
      <w:r>
        <w:rPr>
          <w:b/>
          <w:sz w:val="22"/>
        </w:rPr>
        <w:t>sim n'est pas une distance.</w:t>
      </w:r>
      <w:r>
        <w:rPr>
          <w:sz w:val="22"/>
        </w:rPr>
        <w:t xml:space="preserve"> L'inégalité triangulaire n'est pas garantie, et le seuil la rendrait de toute façon non transitive : </w:t>
      </w:r>
      <w:r>
        <w:rPr>
          <w:rFonts w:ascii="Consolas" w:hAnsi="Consolas"/>
          <w:sz w:val="20"/>
        </w:rPr>
        <w:t>A</w:t>
      </w:r>
      <w:r>
        <w:rPr>
          <w:sz w:val="22"/>
        </w:rPr>
        <w:t xml:space="preserve"> proche de </w:t>
      </w:r>
      <w:r>
        <w:rPr>
          <w:rFonts w:ascii="Consolas" w:hAnsi="Consolas"/>
          <w:sz w:val="20"/>
        </w:rPr>
        <w:t>B</w:t>
      </w:r>
      <w:r>
        <w:rPr>
          <w:sz w:val="22"/>
        </w:rPr>
        <w:t xml:space="preserve"> et </w:t>
      </w:r>
      <w:r>
        <w:rPr>
          <w:rFonts w:ascii="Consolas" w:hAnsi="Consolas"/>
          <w:sz w:val="20"/>
        </w:rPr>
        <w:t>B</w:t>
      </w:r>
      <w:r>
        <w:rPr>
          <w:sz w:val="22"/>
        </w:rPr>
        <w:t xml:space="preserve"> proche de </w:t>
      </w:r>
      <w:r>
        <w:rPr>
          <w:rFonts w:ascii="Consolas" w:hAnsi="Consolas"/>
          <w:sz w:val="20"/>
        </w:rPr>
        <w:t>C</w:t>
      </w:r>
      <w:r>
        <w:rPr>
          <w:sz w:val="22"/>
        </w:rPr>
        <w:t xml:space="preserve"> n'implique pas </w:t>
      </w:r>
      <w:r>
        <w:rPr>
          <w:rFonts w:ascii="Consolas" w:hAnsi="Consolas"/>
          <w:sz w:val="20"/>
        </w:rPr>
        <w:t>A</w:t>
      </w:r>
      <w:r>
        <w:rPr>
          <w:sz w:val="22"/>
        </w:rPr>
        <w:t xml:space="preserve"> proche de </w:t>
      </w:r>
      <w:r>
        <w:rPr>
          <w:rFonts w:ascii="Consolas" w:hAnsi="Consolas"/>
          <w:sz w:val="20"/>
        </w:rPr>
        <w:t>C</w:t>
      </w:r>
      <w:r>
        <w:rPr>
          <w:sz w:val="22"/>
        </w:rPr>
        <w:t>. À énoncer avant qu'on ne le demande.</w:t>
      </w:r>
    </w:p>
    <w:p>
      <w:pPr>
        <w:pStyle w:val="ListBullet"/>
        <w:spacing w:after="60"/>
      </w:pPr>
      <w:r>
        <w:rPr>
          <w:b/>
          <w:sz w:val="22"/>
        </w:rPr>
        <w:t>Coût.</w:t>
      </w:r>
      <w:r>
        <w:rPr>
          <w:sz w:val="22"/>
        </w:rPr>
        <w:t xml:space="preserve"> Construction de la matrice en </w:t>
      </w:r>
      <w:r>
        <w:rPr>
          <w:rFonts w:ascii="Consolas" w:hAnsi="Consolas"/>
          <w:sz w:val="20"/>
        </w:rPr>
        <w:t>O(Σ |C|²)</w:t>
      </w:r>
      <w:r>
        <w:rPr>
          <w:sz w:val="22"/>
        </w:rPr>
        <w:t xml:space="preserve"> sur les contextes ; calcul d'une similarité en </w:t>
      </w:r>
      <w:r>
        <w:rPr>
          <w:rFonts w:ascii="Consolas" w:hAnsi="Consolas"/>
          <w:sz w:val="20"/>
        </w:rPr>
        <w:t>O(min(|v_a|, |v_b|))</w:t>
      </w:r>
      <w:r>
        <w:rPr>
          <w:sz w:val="22"/>
        </w:rPr>
        <w:t xml:space="preserve"> grâce au parcours du plus petit vecteur. La matrice est mise en cache cinq minutes.</w:t>
      </w:r>
    </w:p>
    <w:p>
      <w:pPr>
        <w:pStyle w:val="ListBullet"/>
        <w:spacing w:after="60"/>
      </w:pPr>
      <w:r>
        <w:rPr>
          <w:b/>
          <w:sz w:val="22"/>
        </w:rPr>
        <w:t>Robustesse.</w:t>
      </w:r>
      <w:r>
        <w:rPr>
          <w:sz w:val="22"/>
        </w:rPr>
        <w:t xml:space="preserve"> Un échec de construction ne bloque pas la recommandation : le calcul retombe sur la correspondance exacte, c'est-à-dire le comportement antérieur au moteur.</w:t>
      </w:r>
    </w:p>
    <w:p>
      <w:pPr>
        <w:pStyle w:val="Heading2"/>
      </w:pPr>
      <w:r>
        <w:t>Limites assumées</w:t>
      </w:r>
    </w:p>
    <w:p>
      <w:r>
        <w:rPr>
          <w:sz w:val="22"/>
        </w:rPr>
        <w:t xml:space="preserve">Sur les 1 540 paires du référentiel, </w:t>
      </w:r>
      <w:r>
        <w:rPr>
          <w:b/>
          <w:sz w:val="22"/>
        </w:rPr>
        <w:t>71 franchissent le seuil</w:t>
      </w:r>
      <w:r>
        <w:rPr>
          <w:sz w:val="22"/>
        </w:rPr>
        <w:t xml:space="preserve">. Mais </w:t>
      </w:r>
      <w:r>
        <w:rPr>
          <w:b/>
          <w:sz w:val="22"/>
        </w:rPr>
        <w:t>9 seulement</w:t>
      </w:r>
      <w:r>
        <w:rPr>
          <w:sz w:val="22"/>
        </w:rPr>
        <w:t xml:space="preserve"> tiendraient sur le signal textuel seul : les 62 autres ne passent que grâce au terme </w:t>
      </w:r>
      <w:r>
        <w:rPr>
          <w:rFonts w:ascii="Consolas" w:hAnsi="Consolas"/>
          <w:sz w:val="20"/>
        </w:rPr>
        <w:t>ω_cat · δ</w:t>
      </w:r>
      <w:r>
        <w:rPr>
          <w:sz w:val="22"/>
        </w:rPr>
        <w:t>.</w:t>
      </w:r>
    </w:p>
    <w:p>
      <w:pPr>
        <w:spacing w:before="240" w:after="40"/>
        <w:shd w:val="clear" w:color="auto" w:fill="F0E6CF"/>
        <w:pBdr>
          <w:left w:val="single" w:sz="24" w:space="8" w:color="8A6516"/>
        </w:pBdr>
      </w:pPr>
      <w:r>
        <w:rPr>
          <w:b/>
          <w:sz w:val="22"/>
        </w:rPr>
        <w:t>L'a priori de catégorie est plat, et le seuil est bas</w:t>
      </w:r>
    </w:p>
    <w:p>
      <w:pPr>
        <w:spacing w:after="80"/>
        <w:shd w:val="clear" w:color="auto" w:fill="F0E6CF"/>
        <w:pBdr>
          <w:left w:val="single" w:sz="24" w:space="8" w:color="8A6516"/>
        </w:pBdr>
      </w:pPr>
      <w:r>
        <w:rPr>
          <w:sz w:val="21"/>
        </w:rPr>
        <w:t xml:space="preserve">Le terme </w:t>
      </w:r>
      <w:r>
        <w:rPr>
          <w:rFonts w:ascii="Consolas" w:hAnsi="Consolas"/>
          <w:sz w:val="19"/>
        </w:rPr>
        <w:t>ω_cat · δ</w:t>
      </w:r>
      <w:r>
        <w:rPr>
          <w:sz w:val="21"/>
        </w:rPr>
        <w:t xml:space="preserve"> apporte </w:t>
      </w:r>
      <w:r>
        <w:rPr>
          <w:b/>
          <w:sz w:val="21"/>
        </w:rPr>
        <w:t>0,25 à toute paire de même catégorie</w:t>
      </w:r>
      <w:r>
        <w:rPr>
          <w:sz w:val="21"/>
        </w:rPr>
        <w:t xml:space="preserve">, quelle que soit la relation réelle. Comme </w:t>
      </w:r>
      <w:r>
        <w:rPr>
          <w:rFonts w:ascii="Consolas" w:hAnsi="Consolas"/>
          <w:sz w:val="19"/>
        </w:rPr>
        <w:t>τ = 0,40</w:t>
      </w:r>
      <w:r>
        <w:rPr>
          <w:sz w:val="21"/>
        </w:rPr>
        <w:t>, il ne reste que 0,15 à trouver — soit un cosinus textuel d'environ 0,25. Des paires nettement complémentaires franchissent donc le seuil.</w:t>
      </w:r>
    </w:p>
    <w:p>
      <w:pPr>
        <w:spacing w:after="200"/>
        <w:shd w:val="clear" w:color="auto" w:fill="F0E6CF"/>
        <w:pBdr>
          <w:left w:val="single" w:sz="24" w:space="8" w:color="8A6516"/>
        </w:pBdr>
      </w:pPr>
      <w:r>
        <w:rPr>
          <w:b/>
          <w:sz w:val="21"/>
        </w:rPr>
        <w:t>Ce n'est pas un défaut d'implémentation mais un arbitrage de pondération</w:t>
      </w:r>
      <w:r>
        <w:rPr>
          <w:sz w:val="21"/>
        </w:rPr>
        <w:t>, et il se défend : créditer un développeur Node.js à 43 % pour une offre React reste plus juste que zéro. En revanche, écrire « séparation parfaite » sans préciser « sur l'échantillon de contrôle » expose directement à la question.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Paire retenue</w:t>
            </w:r>
          </w:p>
        </w:tc>
        <w:tc>
          <w:tcPr>
            <w:tcW w:type="dxa" w:w="1417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sim</w:t>
            </w:r>
          </w:p>
        </w:tc>
        <w:tc>
          <w:tcPr>
            <w:tcW w:type="dxa" w:w="4252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Relation réelle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Javascript / React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0,552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9"/>
              </w:rPr>
              <w:t xml:space="preserve">React </w:t>
            </w:r>
            <w:r>
              <w:rPr>
                <w:b/>
                <w:sz w:val="19"/>
              </w:rPr>
              <w:t>est</w:t>
            </w:r>
            <w:r>
              <w:rPr>
                <w:sz w:val="19"/>
              </w:rPr>
              <w:t xml:space="preserve"> du JavaScript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Vue.js / Laravel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0,478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9"/>
              </w:rPr>
              <w:t>front / back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React / Node.js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0,432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9"/>
              </w:rPr>
              <w:t>front / back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SQL / MySQL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9"/>
              </w:rPr>
              <w:t>0,491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9"/>
              </w:rPr>
              <w:t>langage / SGBD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Second point à devancer :</w:t>
      </w:r>
      <w:r>
        <w:rPr>
          <w:sz w:val="22"/>
        </w:rPr>
        <w:t xml:space="preserve"> sur React / Vue.js, le terme de co-occurrence n'apporte que 0,034 sur 0,765, soit </w:t>
      </w:r>
      <w:r>
        <w:rPr>
          <w:b/>
          <w:sz w:val="22"/>
        </w:rPr>
        <w:t>4 % du score</w:t>
      </w:r>
      <w:r>
        <w:rPr>
          <w:sz w:val="22"/>
        </w:rPr>
        <w:t>. Le corpus est trop petit pour que le dénombrement domine ; le rapport s'inversera avec le volume.</w:t>
      </w:r>
    </w:p>
    <w:p>
      <w:r>
        <w:rPr>
          <w:b/>
          <w:sz w:val="22"/>
        </w:rPr>
        <w:t>Piste de travail futur.</w:t>
      </w:r>
      <w:r>
        <w:rPr>
          <w:sz w:val="22"/>
        </w:rPr>
        <w:t xml:space="preserve"> Remplacer </w:t>
      </w:r>
      <w:r>
        <w:rPr>
          <w:rFonts w:ascii="Consolas" w:hAnsi="Consolas"/>
          <w:sz w:val="20"/>
        </w:rPr>
        <w:t>δ</w:t>
      </w:r>
      <w:r>
        <w:rPr>
          <w:sz w:val="22"/>
        </w:rPr>
        <w:t xml:space="preserve"> binaire par une matrice de proximité entre catégories, ou faire décroître </w:t>
      </w:r>
      <w:r>
        <w:rPr>
          <w:rFonts w:ascii="Consolas" w:hAnsi="Consolas"/>
          <w:sz w:val="20"/>
        </w:rPr>
        <w:t>ω_cat</w:t>
      </w:r>
      <w:r>
        <w:rPr>
          <w:sz w:val="22"/>
        </w:rPr>
        <w:t xml:space="preserve"> à mesure que la densité du corpus augmente — de sorte que l'a priori s'efface comme le fait déjà l'amortissement.</w:t>
      </w:r>
    </w:p>
    <w:p>
      <w:r>
        <w:br w:type="page"/>
      </w:r>
    </w:p>
    <w:p>
      <w:pPr>
        <w:pStyle w:val="Heading2"/>
      </w:pPr>
      <w:r>
        <w:t>Annexe A — Les formules en LaTeX</w:t>
      </w:r>
    </w:p>
    <w:p>
      <w:r>
        <w:rPr>
          <w:sz w:val="22"/>
        </w:rPr>
        <w:t xml:space="preserve">Word accepte le LaTeX dans son éditeur d'équations : </w:t>
      </w:r>
      <w:r>
        <w:rPr>
          <w:b/>
          <w:sz w:val="22"/>
        </w:rPr>
        <w:t>Insertion &gt; Équation</w:t>
      </w:r>
      <w:r>
        <w:rPr>
          <w:sz w:val="22"/>
        </w:rPr>
        <w:t xml:space="preserve">, puis choisir </w:t>
      </w:r>
      <w:r>
        <w:rPr>
          <w:i/>
          <w:sz w:val="22"/>
        </w:rPr>
        <w:t>LaTeX</w:t>
      </w:r>
      <w:r>
        <w:rPr>
          <w:sz w:val="22"/>
        </w:rPr>
        <w:t xml:space="preserve"> dans le ruban avant de coller. Cela évite de ressaisir les symboles un par un et produit de véritables équations, numérotables et référençables.</w:t>
      </w:r>
    </w:p>
    <w:p>
      <w:pPr>
        <w:spacing w:before="200" w:after="40"/>
      </w:pPr>
      <w:r>
        <w:rPr>
          <w:b/>
          <w:color w:val="31356E"/>
          <w:sz w:val="20"/>
        </w:rPr>
        <w:t>Poids TF-IDF d'un terme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w(t,a) = tf(t,a) \times \left( \ln \frac{N}{df(t)} + 1 \right)</w:t>
      </w:r>
    </w:p>
    <w:p>
      <w:pPr>
        <w:spacing w:before="200" w:after="40"/>
      </w:pPr>
      <w:r>
        <w:rPr>
          <w:b/>
          <w:color w:val="31356E"/>
          <w:sz w:val="20"/>
        </w:rPr>
        <w:t>Cosinus textuel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\cos_{txt}(a,b) = \frac{\sum_t w(t,a)\, w(t,b)}{\lVert v_{txt}(a) \rVert \cdot \lVert v_{txt}(b) \rVert}</w:t>
      </w:r>
    </w:p>
    <w:p>
      <w:pPr>
        <w:spacing w:before="200" w:after="40"/>
      </w:pPr>
      <w:r>
        <w:rPr>
          <w:b/>
          <w:color w:val="31356E"/>
          <w:sz w:val="20"/>
        </w:rPr>
        <w:t>Norme d'un vecteur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\lVert v \rVert = \sqrt{\sum_t w(t)^2}</w:t>
      </w:r>
    </w:p>
    <w:p>
      <w:pPr>
        <w:spacing w:before="200" w:after="40"/>
      </w:pPr>
      <w:r>
        <w:rPr>
          <w:b/>
          <w:color w:val="31356E"/>
          <w:sz w:val="20"/>
        </w:rPr>
        <w:t>A priori de categorie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\delta(a,b) = \begin{cases} 1 &amp; \text{si } cat(a) = cat(b) \\ 0 &amp; \text{sinon} \end{cases}</w:t>
      </w:r>
    </w:p>
    <w:p>
      <w:pPr>
        <w:spacing w:before="200" w:after="40"/>
      </w:pPr>
      <w:r>
        <w:rPr>
          <w:b/>
          <w:color w:val="31356E"/>
          <w:sz w:val="20"/>
        </w:rPr>
        <w:t>Matrice de co-occurrence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M[a][b] = \left| \{ C \in \mathcal{X} : a \in C \wedge b \in C \} \right|</w:t>
      </w:r>
    </w:p>
    <w:p>
      <w:pPr>
        <w:spacing w:before="200" w:after="40"/>
      </w:pPr>
      <w:r>
        <w:rPr>
          <w:b/>
          <w:color w:val="31356E"/>
          <w:sz w:val="20"/>
        </w:rPr>
        <w:t>Nombre d'apparitions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n(a) = \left| \{ C \in \mathcal{X} : a \in C \} \right|</w:t>
      </w:r>
    </w:p>
    <w:p>
      <w:pPr>
        <w:spacing w:before="200" w:after="40"/>
      </w:pPr>
      <w:r>
        <w:rPr>
          <w:b/>
          <w:color w:val="31356E"/>
          <w:sz w:val="20"/>
        </w:rPr>
        <w:t>Cosinus du second ordre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\cos_{ctx}(a,b) = \frac{\sum_i M[a][i]\, M[b][i]}{\lVert v_{ctx}(a) \rVert \cdot \lVert v_{ctx}(b) \rVert}</w:t>
      </w:r>
    </w:p>
    <w:p>
      <w:pPr>
        <w:spacing w:before="200" w:after="40"/>
      </w:pPr>
      <w:r>
        <w:rPr>
          <w:b/>
          <w:color w:val="31356E"/>
          <w:sz w:val="20"/>
        </w:rPr>
        <w:t>Amortissement par la confiance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conf(a,b) = \frac{n}{n + K}, \quad n = \min(n(a), n(b)), \quad K = 5</w:t>
      </w:r>
    </w:p>
    <w:p>
      <w:pPr>
        <w:spacing w:before="200" w:after="40"/>
      </w:pPr>
      <w:r>
        <w:rPr>
          <w:b/>
          <w:color w:val="31356E"/>
          <w:sz w:val="20"/>
        </w:rPr>
        <w:t>Penalite de complementarite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subst(a,b) = 1 - \lambda \min\left(1, \frac{M[a][b]}{n}\right), \quad \lambda = 0{,}8</w:t>
      </w:r>
    </w:p>
    <w:p>
      <w:pPr>
        <w:spacing w:before="200" w:after="40"/>
      </w:pPr>
      <w:r>
        <w:rPr>
          <w:b/>
          <w:color w:val="31356E"/>
          <w:sz w:val="20"/>
        </w:rPr>
        <w:t>Terme observe complet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obs(a,b) = \cos_{ctx}(a,b) \times conf(a,b) \times subst(a,b)</w:t>
      </w:r>
    </w:p>
    <w:p>
      <w:pPr>
        <w:spacing w:before="200" w:after="40"/>
      </w:pPr>
      <w:r>
        <w:rPr>
          <w:b/>
          <w:color w:val="31356E"/>
          <w:sz w:val="20"/>
        </w:rPr>
        <w:t>Somme ponderee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S(a,b) = \omega_{txt} \cos_{txt}(a,b) + \omega_{obs}\, obs(a,b) + \omega_{cat}\, \delta(a,b)</w:t>
      </w:r>
    </w:p>
    <w:p>
      <w:pPr>
        <w:spacing w:before="200" w:after="40"/>
      </w:pPr>
      <w:r>
        <w:rPr>
          <w:b/>
          <w:color w:val="31356E"/>
          <w:sz w:val="20"/>
        </w:rPr>
        <w:t>Similarite finale</w:t>
      </w:r>
    </w:p>
    <w:p>
      <w:pPr>
        <w:spacing w:after="120"/>
        <w:ind w:left="340"/>
        <w:shd w:val="clear" w:color="auto" w:fill="F4F5F9"/>
      </w:pPr>
      <w:r>
        <w:rPr>
          <w:rFonts w:ascii="Consolas" w:hAnsi="Consolas"/>
          <w:sz w:val="18"/>
        </w:rPr>
        <w:t>sim(a,b) = \begin{cases} 1 &amp; \text{si } a = b \\ 0 &amp; \text{si } S(a,b) &lt; \tau \\ \min(1, S(a,b)) &amp; \text{sinon} \end{cases}</w:t>
      </w:r>
    </w:p>
    <w:p>
      <w:pPr>
        <w:pStyle w:val="Heading2"/>
      </w:pPr>
      <w:r>
        <w:t>Annexe B — Provenance des chiffres</w:t>
      </w:r>
    </w:p>
    <w:p>
      <w:r>
        <w:rPr>
          <w:sz w:val="22"/>
        </w:rPr>
        <w:t xml:space="preserve">Toutes les valeurs de cette section ont été obtenues en rejouant </w:t>
      </w:r>
      <w:r>
        <w:rPr>
          <w:rFonts w:ascii="Consolas" w:hAnsi="Consolas"/>
          <w:sz w:val="20"/>
        </w:rPr>
        <w:t>src/lib/cooccurrence.js</w:t>
      </w:r>
      <w:r>
        <w:rPr>
          <w:sz w:val="22"/>
        </w:rPr>
        <w:t xml:space="preserve"> sur </w:t>
      </w:r>
      <w:r>
        <w:rPr>
          <w:rFonts w:ascii="Consolas" w:hAnsi="Consolas"/>
          <w:sz w:val="20"/>
        </w:rPr>
        <w:t>prisma/seed.sql</w:t>
      </w:r>
      <w:r>
        <w:rPr>
          <w:sz w:val="22"/>
        </w:rPr>
        <w:t xml:space="preserve"> versionné, sans base de données. Ce jeu donne 103 contextes et 185 paires observées, là où le document </w:t>
      </w:r>
      <w:r>
        <w:rPr>
          <w:rFonts w:ascii="Consolas" w:hAnsi="Consolas"/>
          <w:sz w:val="20"/>
        </w:rPr>
        <w:t>MD/4 - MOTEUR-COOCCURRENCE.md</w:t>
      </w:r>
      <w:r>
        <w:rPr>
          <w:sz w:val="22"/>
        </w:rPr>
        <w:t xml:space="preserve"> en annonce 104 et 176 — l'écart vient du moment de la mesure et doit être harmonisé avant dépôt.</w:t>
      </w:r>
    </w:p>
    <w:p>
      <w:r>
        <w:rPr>
          <w:sz w:val="22"/>
        </w:rPr>
        <w:t>La colonne « relation réelle » du tableau des limites est une interprétation manuelle, non une étiquette produite par le moteur.</w:t>
      </w:r>
    </w:p>
    <w:p>
      <w:r>
        <w:rPr>
          <w:sz w:val="22"/>
        </w:rPr>
        <w:t xml:space="preserve">Cette section se régénère par </w:t>
      </w:r>
      <w:r>
        <w:rPr>
          <w:rFonts w:ascii="Consolas" w:hAnsi="Consolas"/>
          <w:sz w:val="20"/>
        </w:rPr>
        <w:t>python scripts/memoire/generer-cooccurrence.py</w:t>
      </w:r>
      <w:r>
        <w:rPr>
          <w:sz w:val="22"/>
        </w:rPr>
        <w:t xml:space="preserve">. Les valeurs sont regroupées dans la constante </w:t>
      </w:r>
      <w:r>
        <w:rPr>
          <w:rFonts w:ascii="Consolas" w:hAnsi="Consolas"/>
          <w:sz w:val="20"/>
        </w:rPr>
        <w:t>MESURES</w:t>
      </w:r>
      <w:r>
        <w:rPr>
          <w:sz w:val="22"/>
        </w:rPr>
        <w:t xml:space="preserve"> en tête du script : c'est le seul endroit à corriger quand le corpus évolue.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517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5172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135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52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1356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