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 moteur de similarité entre compétences — synthèse</w:t>
      </w:r>
    </w:p>
    <w:p>
      <w:r>
        <w:rPr>
          <w:sz w:val="19"/>
        </w:rPr>
        <w:t xml:space="preserve">La plateforme comparait les compétences </w:t>
      </w:r>
      <w:r>
        <w:rPr>
          <w:b/>
          <w:sz w:val="19"/>
        </w:rPr>
        <w:t>par identifiant exact</w:t>
      </w:r>
      <w:r>
        <w:rPr>
          <w:sz w:val="19"/>
        </w:rPr>
        <w:t xml:space="preserve"> : un étudiant maîtrisant React obtenait zéro sur une offre exigeant Vue.js. La méthode retenue construit une proximité </w:t>
      </w:r>
      <w:r>
        <w:rPr>
          <w:rFonts w:ascii="Consolas" w:hAnsi="Consolas"/>
          <w:sz w:val="17"/>
        </w:rPr>
        <w:t>sim(a, b) ∈ [0, 1]</w:t>
      </w:r>
      <w:r>
        <w:rPr>
          <w:sz w:val="19"/>
        </w:rPr>
        <w:t xml:space="preserve"> par </w:t>
      </w:r>
      <w:r>
        <w:rPr>
          <w:b/>
          <w:sz w:val="19"/>
        </w:rPr>
        <w:t>dénombrement</w:t>
      </w:r>
      <w:r>
        <w:rPr>
          <w:sz w:val="19"/>
        </w:rPr>
        <w:t xml:space="preserve">, sans modèle de langue ni apprentissage — trois sources de signal indépendantes, réunies par une somme pondérée et un seuil. Corpus : </w:t>
      </w:r>
      <w:r>
        <w:rPr>
          <w:b/>
          <w:sz w:val="19"/>
        </w:rPr>
        <w:t>56 compétences</w:t>
      </w:r>
      <w:r>
        <w:rPr>
          <w:sz w:val="19"/>
        </w:rPr>
        <w:t xml:space="preserve">, </w:t>
      </w:r>
      <w:r>
        <w:rPr>
          <w:b/>
          <w:sz w:val="19"/>
        </w:rPr>
        <w:t>103 contextes</w:t>
      </w:r>
      <w:r>
        <w:rPr>
          <w:sz w:val="19"/>
        </w:rPr>
        <w:t xml:space="preserve">, </w:t>
      </w:r>
      <w:r>
        <w:rPr>
          <w:b/>
          <w:sz w:val="19"/>
        </w:rPr>
        <w:t>185 paires observées</w:t>
      </w:r>
      <w:r>
        <w:rPr>
          <w:sz w:val="19"/>
        </w:rPr>
        <w:t xml:space="preserve"> sur 1 540 possibles.</w:t>
      </w:r>
    </w:p>
    <w:p>
      <w:pPr>
        <w:pStyle w:val="Heading2"/>
      </w:pPr>
      <w:r>
        <w:t>Source 1 — La description (poids 0,60)</w:t>
      </w:r>
    </w:p>
    <w:p>
      <w:r>
        <w:rPr>
          <w:sz w:val="19"/>
        </w:rPr>
        <w:t xml:space="preserve">Chaque compétence porte une description rédigée. Elle est découpée en termes par </w:t>
      </w:r>
      <w:r>
        <w:rPr>
          <w:b/>
          <w:sz w:val="19"/>
        </w:rPr>
        <w:t>cinq opérations</w:t>
      </w:r>
      <w:r>
        <w:rPr>
          <w:sz w:val="19"/>
        </w:rPr>
        <w:t xml:space="preserve"> — minuscules, suppression des accents, ponctuation en espaces, rejet des termes de 2 lettres ou moins et des 26 mots vides, racinisation conservatrice — puis pesée par TF-IDF.</w:t>
      </w:r>
    </w:p>
    <w:p>
      <w:pPr>
        <w:spacing w:before="100" w:after="4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w(t, a)  =  tf(t, a)  ×  ( ln ( N ⁄ df(t) ) + 1 )</w:t>
      </w:r>
    </w:p>
    <w:p>
      <w:pPr>
        <w:spacing w:before="40" w:after="10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cos</w:t>
      </w:r>
      <w:r>
        <w:rPr>
          <w:rFonts w:ascii="Cambria Math" w:hAnsi="Cambria Math"/>
          <w:sz w:val="20"/>
          <w:vertAlign w:val="subscript"/>
        </w:rPr>
        <w:t>txt</w:t>
      </w:r>
      <w:r>
        <w:rPr>
          <w:rFonts w:ascii="Cambria Math" w:hAnsi="Cambria Math"/>
          <w:sz w:val="20"/>
        </w:rPr>
        <w:t>(a, b)  =  Σ</w:t>
      </w:r>
      <w:r>
        <w:rPr>
          <w:rFonts w:ascii="Cambria Math" w:hAnsi="Cambria Math"/>
          <w:sz w:val="20"/>
          <w:vertAlign w:val="subscript"/>
        </w:rPr>
        <w:t>t</w:t>
      </w:r>
      <w:r>
        <w:rPr>
          <w:rFonts w:ascii="Cambria Math" w:hAnsi="Cambria Math"/>
          <w:sz w:val="20"/>
        </w:rPr>
        <w:t xml:space="preserve"> w(t,a) · w(t,b)  ⁄  ( ‖v</w:t>
      </w:r>
      <w:r>
        <w:rPr>
          <w:rFonts w:ascii="Cambria Math" w:hAnsi="Cambria Math"/>
          <w:sz w:val="20"/>
          <w:vertAlign w:val="subscript"/>
        </w:rPr>
        <w:t>txt</w:t>
      </w:r>
      <w:r>
        <w:rPr>
          <w:rFonts w:ascii="Cambria Math" w:hAnsi="Cambria Math"/>
          <w:sz w:val="20"/>
        </w:rPr>
        <w:t>(a)‖ · ‖v</w:t>
      </w:r>
      <w:r>
        <w:rPr>
          <w:rFonts w:ascii="Cambria Math" w:hAnsi="Cambria Math"/>
          <w:sz w:val="20"/>
          <w:vertAlign w:val="subscript"/>
        </w:rPr>
        <w:t>txt</w:t>
      </w:r>
      <w:r>
        <w:rPr>
          <w:rFonts w:ascii="Cambria Math" w:hAnsi="Cambria Math"/>
          <w:sz w:val="20"/>
        </w:rPr>
        <w:t>(b)‖ )</w:t>
      </w:r>
    </w:p>
    <w:p>
      <w:r>
        <w:rPr>
          <w:rFonts w:ascii="Consolas" w:hAnsi="Consolas"/>
          <w:sz w:val="17"/>
        </w:rPr>
        <w:t>tf</w:t>
      </w:r>
      <w:r>
        <w:rPr>
          <w:sz w:val="19"/>
        </w:rPr>
        <w:t xml:space="preserve"> est </w:t>
      </w:r>
      <w:r>
        <w:rPr>
          <w:b/>
          <w:sz w:val="19"/>
        </w:rPr>
        <w:t>local</w:t>
      </w:r>
      <w:r>
        <w:rPr>
          <w:sz w:val="19"/>
        </w:rPr>
        <w:t xml:space="preserve"> — les occurrences dans une description ; </w:t>
      </w:r>
      <w:r>
        <w:rPr>
          <w:rFonts w:ascii="Consolas" w:hAnsi="Consolas"/>
          <w:sz w:val="17"/>
        </w:rPr>
        <w:t>df</w:t>
      </w:r>
      <w:r>
        <w:rPr>
          <w:sz w:val="19"/>
        </w:rPr>
        <w:t xml:space="preserve"> est </w:t>
      </w:r>
      <w:r>
        <w:rPr>
          <w:b/>
          <w:sz w:val="19"/>
        </w:rPr>
        <w:t>global</w:t>
      </w:r>
      <w:r>
        <w:rPr>
          <w:sz w:val="19"/>
        </w:rPr>
        <w:t xml:space="preserve"> — le nombre de descriptions contenant le terme. L'IDF est indispensable : sans lui, « pour » pèserait autant que « relationnelles ».</w:t>
      </w:r>
    </w:p>
    <w:p>
      <w:pPr>
        <w:pStyle w:val="Heading2"/>
      </w:pPr>
      <w:r>
        <w:t>Source 2 — La catégorie (poids 0,25)</w:t>
      </w:r>
    </w:p>
    <w:p>
      <w:pPr>
        <w:spacing w:before="100" w:after="10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δ(a, b)  =  1  si cat(a) = cat(b),   0  sinon</w:t>
      </w:r>
    </w:p>
    <w:p>
      <w:r>
        <w:rPr>
          <w:sz w:val="19"/>
        </w:rPr>
        <w:t xml:space="preserve">A priori binaire et </w:t>
      </w:r>
      <w:r>
        <w:rPr>
          <w:b/>
          <w:sz w:val="19"/>
        </w:rPr>
        <w:t>non amorti</w:t>
      </w:r>
      <w:r>
        <w:rPr>
          <w:sz w:val="19"/>
        </w:rPr>
        <w:t xml:space="preserve"> : il ne repose sur aucune observation, et son rôle est précisément de combler leur absence.</w:t>
      </w:r>
    </w:p>
    <w:p>
      <w:pPr>
        <w:pStyle w:val="Heading2"/>
      </w:pPr>
      <w:r>
        <w:t>Source 3 — Les fréquentations (poids 0,15)</w:t>
      </w:r>
    </w:p>
    <w:p>
      <w:r>
        <w:rPr>
          <w:sz w:val="19"/>
        </w:rPr>
        <w:t xml:space="preserve">Un </w:t>
      </w:r>
      <w:r>
        <w:rPr>
          <w:b/>
          <w:sz w:val="19"/>
        </w:rPr>
        <w:t>contexte</w:t>
      </w:r>
      <w:r>
        <w:rPr>
          <w:sz w:val="19"/>
        </w:rPr>
        <w:t xml:space="preserve"> est un ensemble de compétences vues ensemble : les compétences exigées par une offre, ou déclarées par un étudiant. Les clés sont préfixées (</w:t>
      </w:r>
      <w:r>
        <w:rPr>
          <w:rFonts w:ascii="Consolas" w:hAnsi="Consolas"/>
          <w:sz w:val="17"/>
        </w:rPr>
        <w:t>o3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e3</w:t>
      </w:r>
      <w:r>
        <w:rPr>
          <w:sz w:val="19"/>
        </w:rPr>
        <w:t>) et les contextes de cardinal 1 sont écartés.</w:t>
      </w:r>
    </w:p>
    <w:p>
      <w:pPr>
        <w:spacing w:before="100" w:after="4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M[a][b]  =  #{ C ∈ 𝒳 : a ∈ C et b ∈ C }          n(a)  =  #{ C ∈ 𝒳 : a ∈ C }</w:t>
      </w:r>
    </w:p>
    <w:p>
      <w:pPr>
        <w:spacing w:before="40" w:after="4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cos</w:t>
      </w:r>
      <w:r>
        <w:rPr>
          <w:rFonts w:ascii="Cambria Math" w:hAnsi="Cambria Math"/>
          <w:sz w:val="20"/>
          <w:vertAlign w:val="subscript"/>
        </w:rPr>
        <w:t>ctx</w:t>
      </w:r>
      <w:r>
        <w:rPr>
          <w:rFonts w:ascii="Cambria Math" w:hAnsi="Cambria Math"/>
          <w:sz w:val="20"/>
        </w:rPr>
        <w:t>(a, b)  =  Σ</w:t>
      </w:r>
      <w:r>
        <w:rPr>
          <w:rFonts w:ascii="Cambria Math" w:hAnsi="Cambria Math"/>
          <w:sz w:val="20"/>
          <w:vertAlign w:val="subscript"/>
        </w:rPr>
        <w:t>i</w:t>
      </w:r>
      <w:r>
        <w:rPr>
          <w:rFonts w:ascii="Cambria Math" w:hAnsi="Cambria Math"/>
          <w:sz w:val="20"/>
        </w:rPr>
        <w:t xml:space="preserve"> M[a][i] · M[b][i]  ⁄  ( ‖v</w:t>
      </w:r>
      <w:r>
        <w:rPr>
          <w:rFonts w:ascii="Cambria Math" w:hAnsi="Cambria Math"/>
          <w:sz w:val="20"/>
          <w:vertAlign w:val="subscript"/>
        </w:rPr>
        <w:t>ctx</w:t>
      </w:r>
      <w:r>
        <w:rPr>
          <w:rFonts w:ascii="Cambria Math" w:hAnsi="Cambria Math"/>
          <w:sz w:val="20"/>
        </w:rPr>
        <w:t>(a)‖ · ‖v</w:t>
      </w:r>
      <w:r>
        <w:rPr>
          <w:rFonts w:ascii="Cambria Math" w:hAnsi="Cambria Math"/>
          <w:sz w:val="20"/>
          <w:vertAlign w:val="subscript"/>
        </w:rPr>
        <w:t>ctx</w:t>
      </w:r>
      <w:r>
        <w:rPr>
          <w:rFonts w:ascii="Cambria Math" w:hAnsi="Cambria Math"/>
          <w:sz w:val="20"/>
        </w:rPr>
        <w:t>(b)‖ )</w:t>
      </w:r>
    </w:p>
    <w:p>
      <w:pPr>
        <w:spacing w:before="40" w:after="4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conf(a, b)  =  n ⁄ ( n + K ),   n = min( n(a), n(b) ),   K = 5</w:t>
      </w:r>
    </w:p>
    <w:p>
      <w:pPr>
        <w:spacing w:before="40" w:after="4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subst(a, b)  =  1 − λ · min( 1 , M[a][b] ⁄ n ),   λ = 0,8</w:t>
      </w:r>
    </w:p>
    <w:p>
      <w:pPr>
        <w:spacing w:before="40" w:after="10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obs(a, b)  =  cos</w:t>
      </w:r>
      <w:r>
        <w:rPr>
          <w:rFonts w:ascii="Cambria Math" w:hAnsi="Cambria Math"/>
          <w:sz w:val="20"/>
          <w:vertAlign w:val="subscript"/>
        </w:rPr>
        <w:t>ctx</w:t>
      </w:r>
      <w:r>
        <w:rPr>
          <w:rFonts w:ascii="Cambria Math" w:hAnsi="Cambria Math"/>
          <w:sz w:val="20"/>
        </w:rPr>
        <w:t>(a, b)  ×  conf(a, b)  ×  subst(a, b)</w:t>
      </w:r>
    </w:p>
    <w:p>
      <w:r>
        <w:rPr>
          <w:b/>
          <w:sz w:val="19"/>
        </w:rPr>
        <w:t>Le second ordre est le point décisif.</w:t>
      </w:r>
      <w:r>
        <w:rPr>
          <w:sz w:val="19"/>
        </w:rPr>
        <w:t xml:space="preserve"> Deux compétences substituables sont des alternatives : </w:t>
      </w:r>
      <w:r>
        <w:rPr>
          <w:rFonts w:ascii="Consolas" w:hAnsi="Consolas"/>
          <w:sz w:val="17"/>
        </w:rPr>
        <w:t>M[React][Vue.js] = 0</w:t>
      </w:r>
      <w:r>
        <w:rPr>
          <w:sz w:val="19"/>
        </w:rPr>
        <w:t xml:space="preserve">. Un raisonnement au premier ordre conclurait qu'elles n'ont aucun rapport. On compare donc les </w:t>
      </w:r>
      <w:r>
        <w:rPr>
          <w:i/>
          <w:sz w:val="19"/>
        </w:rPr>
        <w:t>profils</w:t>
      </w:r>
      <w:r>
        <w:rPr>
          <w:sz w:val="19"/>
        </w:rPr>
        <w:t xml:space="preserve"> de co-occurrence, non la co-occurrence elle-même.</w:t>
      </w:r>
    </w:p>
    <w:p>
      <w:r>
        <w:rPr>
          <w:b/>
          <w:sz w:val="19"/>
        </w:rPr>
        <w:t>Les deux atténuations traitent deux échecs distincts.</w:t>
      </w:r>
      <w:r>
        <w:rPr>
          <w:sz w:val="19"/>
        </w:rPr>
        <w:t xml:space="preserve"> </w:t>
      </w:r>
      <w:r>
        <w:rPr>
          <w:rFonts w:ascii="Consolas" w:hAnsi="Consolas"/>
          <w:sz w:val="17"/>
        </w:rPr>
        <w:t>conf</w:t>
      </w:r>
      <w:r>
        <w:rPr>
          <w:sz w:val="19"/>
        </w:rPr>
        <w:t xml:space="preserve"> écarte les coïncidences de rareté — Génie civil ↔ Génie textile sortait à 0,979 sur deux observations ; elle s'efface d'elle-même quand le corpus s'étoffe. </w:t>
      </w:r>
      <w:r>
        <w:rPr>
          <w:rFonts w:ascii="Consolas" w:hAnsi="Consolas"/>
          <w:sz w:val="17"/>
        </w:rPr>
        <w:t>subst</w:t>
      </w:r>
      <w:r>
        <w:rPr>
          <w:sz w:val="19"/>
        </w:rPr>
        <w:t xml:space="preserve"> écarte la complémentarité — Git et SQL se rencontrent, donc l'une ne remplace pas l'autre ; le plancher de 0,2 atténue sans annuler.</w:t>
      </w:r>
    </w:p>
    <w:p>
      <w:pPr>
        <w:pStyle w:val="Heading2"/>
      </w:pPr>
      <w:r>
        <w:t>Assemblage</w:t>
      </w:r>
    </w:p>
    <w:p>
      <w:pPr>
        <w:spacing w:before="100" w:after="4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S(a, b)  =  0,60 · cos</w:t>
      </w:r>
      <w:r>
        <w:rPr>
          <w:rFonts w:ascii="Cambria Math" w:hAnsi="Cambria Math"/>
          <w:sz w:val="20"/>
          <w:vertAlign w:val="subscript"/>
        </w:rPr>
        <w:t>txt</w:t>
      </w:r>
      <w:r>
        <w:rPr>
          <w:rFonts w:ascii="Cambria Math" w:hAnsi="Cambria Math"/>
          <w:sz w:val="20"/>
        </w:rPr>
        <w:t>(a,b)  +  0,15 · obs(a,b)  +  0,25 · δ(a,b)</w:t>
      </w:r>
    </w:p>
    <w:p>
      <w:pPr>
        <w:spacing w:before="40" w:after="100"/>
        <w:ind w:left="283"/>
        <w:shd w:val="clear" w:color="auto" w:fill="F4F5F9"/>
        <w:pBdr>
          <w:left w:val="single" w:sz="18" w:space="8" w:color="31356E"/>
        </w:pBdr>
      </w:pPr>
      <w:r>
        <w:rPr>
          <w:rFonts w:ascii="Cambria Math" w:hAnsi="Cambria Math"/>
          <w:sz w:val="20"/>
        </w:rPr>
        <w:t>sim(a, b)  =  1 si a = b ;   0 si S(a, b) &lt; τ ;   min( 1 , S(a,b) ) sinon      τ = 0,40</w:t>
      </w:r>
    </w:p>
    <w:p>
      <w:r>
        <w:rPr>
          <w:sz w:val="19"/>
        </w:rPr>
        <w:t xml:space="preserve">Les trois poids somment à 1 — celui des fréquentations est </w:t>
      </w:r>
      <w:r>
        <w:rPr>
          <w:b/>
          <w:sz w:val="19"/>
        </w:rPr>
        <w:t>déduit</w:t>
      </w:r>
      <w:r>
        <w:rPr>
          <w:sz w:val="19"/>
        </w:rPr>
        <w:t xml:space="preserve"> : </w:t>
      </w:r>
      <w:r>
        <w:rPr>
          <w:rFonts w:ascii="Consolas" w:hAnsi="Consolas"/>
          <w:sz w:val="17"/>
        </w:rPr>
        <w:t>1 − 0,60 − 0,25</w:t>
      </w:r>
      <w:r>
        <w:rPr>
          <w:sz w:val="19"/>
        </w:rPr>
        <w:t xml:space="preserve">. Le seuil gouverne l'affichage </w:t>
      </w:r>
      <w:r>
        <w:rPr>
          <w:b/>
          <w:sz w:val="19"/>
        </w:rPr>
        <w:t>et</w:t>
      </w:r>
      <w:r>
        <w:rPr>
          <w:sz w:val="19"/>
        </w:rPr>
        <w:t xml:space="preserve"> le calcul : si une proximité n'inspire pas assez confiance pour être montrée à l'utilisateur, elle n'en inspire pas assez pour entrer dans le score. Le rejet est franc, non progressif.</w:t>
      </w:r>
    </w:p>
    <w:p>
      <w:pPr>
        <w:pStyle w:val="Heading2"/>
      </w:pPr>
      <w:r>
        <w:t>Application chiffrée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7"/>
              </w:rPr>
            </w:r>
          </w:p>
        </w:tc>
        <w:tc>
          <w:tcPr>
            <w:tcW w:type="dxa" w:w="3742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React / Vue.js</w:t>
            </w:r>
          </w:p>
        </w:tc>
        <w:tc>
          <w:tcPr>
            <w:tcW w:type="dxa" w:w="3742"/>
            <w:shd w:val="clear" w:color="auto" w:fill="E2E5EE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Git / SQL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sz w:val="17"/>
              </w:rPr>
              <w:t>cos_txt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0,8019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0,0000 — aucun terme commun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sz w:val="17"/>
              </w:rPr>
              <w:t>cos_ctx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0,7939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0,3400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sz w:val="17"/>
              </w:rPr>
              <w:t>conf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0,2857  (n = 2)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0,6875  (n = 11)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sz w:val="17"/>
              </w:rPr>
              <w:t>subst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1,0000  (M = 0)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0,6360  (M = 5)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sz w:val="17"/>
              </w:rPr>
              <w:t>δ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1 — Technique = Technique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>0 — Technique ≠ Données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b/>
                <w:sz w:val="17"/>
              </w:rPr>
              <w:t>S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 xml:space="preserve">0,4811 + 0,0340 + 0,2500 = </w:t>
            </w:r>
            <w:r>
              <w:rPr>
                <w:b/>
                <w:sz w:val="17"/>
              </w:rPr>
              <w:t>0,7651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7"/>
              </w:rPr>
              <w:t xml:space="preserve">0 + 0,0223 + 0 = </w:t>
            </w:r>
            <w:r>
              <w:rPr>
                <w:b/>
                <w:sz w:val="17"/>
              </w:rPr>
              <w:t>0,0223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>
              <w:rPr>
                <w:b/>
                <w:sz w:val="17"/>
              </w:rPr>
              <w:t>sim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sz w:val="17"/>
              </w:rPr>
              <w:t>0,765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— sous le seuil</w:t>
            </w:r>
          </w:p>
        </w:tc>
      </w:tr>
    </w:tbl>
    <w:p>
      <w:pPr>
        <w:spacing w:after="40"/>
      </w:pPr>
    </w:p>
    <w:p>
      <w:pPr>
        <w:pStyle w:val="Heading2"/>
      </w:pPr>
      <w:r>
        <w:t>Intégration à l'application</w:t>
      </w:r>
    </w:p>
    <w:p>
      <w:r>
        <w:rPr>
          <w:sz w:val="19"/>
        </w:rPr>
        <w:t xml:space="preserve">La similarité entre en </w:t>
      </w:r>
      <w:r>
        <w:rPr>
          <w:b/>
          <w:sz w:val="19"/>
        </w:rPr>
        <w:t>un seul point</w:t>
      </w:r>
      <w:r>
        <w:rPr>
          <w:sz w:val="19"/>
        </w:rPr>
        <w:t xml:space="preserve"> : </w:t>
      </w:r>
      <w:r>
        <w:rPr>
          <w:rFonts w:ascii="Consolas" w:hAnsi="Consolas"/>
          <w:sz w:val="17"/>
        </w:rPr>
        <w:t>scoreCompetence</w:t>
      </w:r>
      <w:r>
        <w:rPr>
          <w:sz w:val="19"/>
        </w:rPr>
        <w:t xml:space="preserve">, quand une compétence exigée n'a pas de correspondance exacte dans le profil. Le crédit est alors proportionnel — </w:t>
      </w:r>
      <w:r>
        <w:rPr>
          <w:rFonts w:ascii="Consolas" w:hAnsi="Consolas"/>
          <w:sz w:val="17"/>
        </w:rPr>
        <w:t>crédit = poids × sim(exigée, possédée)</w:t>
      </w:r>
      <w:r>
        <w:rPr>
          <w:sz w:val="19"/>
        </w:rPr>
        <w:t xml:space="preserve"> — de sorte qu'une compétence approchante ne vaut </w:t>
      </w:r>
      <w:r>
        <w:rPr>
          <w:b/>
          <w:sz w:val="19"/>
        </w:rPr>
        <w:t>jamais</w:t>
      </w:r>
      <w:r>
        <w:rPr>
          <w:sz w:val="19"/>
        </w:rPr>
        <w:t xml:space="preserve"> autant qu'une compétence exacte. Ce sous-score pèse </w:t>
      </w:r>
      <w:r>
        <w:rPr>
          <w:b/>
          <w:sz w:val="19"/>
        </w:rPr>
        <w:t>40 points sur 100</w:t>
      </w:r>
      <w:r>
        <w:rPr>
          <w:sz w:val="19"/>
        </w:rPr>
        <w:t xml:space="preserve"> ; les 60 autres viennent de la filière, du niveau, de la localisation et des préférences. Quatre fonctionnalités en dépendent : offres recommandées, conseiller de compétences, candidats suggérés et candidatures classées.</w:t>
      </w:r>
    </w:p>
    <w:p>
      <w:pPr>
        <w:pStyle w:val="Heading2"/>
      </w:pPr>
      <w:r>
        <w:t>Limites assumées</w:t>
      </w:r>
    </w:p>
    <w:p>
      <w:pPr>
        <w:pStyle w:val="ListBullet"/>
        <w:spacing w:after="20"/>
      </w:pPr>
      <w:r>
        <w:rPr>
          <w:b/>
          <w:sz w:val="19"/>
        </w:rPr>
        <w:t>L'a priori de catégorie est plat.</w:t>
      </w:r>
      <w:r>
        <w:rPr>
          <w:sz w:val="19"/>
        </w:rPr>
        <w:t xml:space="preserve"> Il apporte 0,25 à toute paire de même catégorie, quelle que soit la relation réelle. Comme </w:t>
      </w:r>
      <w:r>
        <w:rPr>
          <w:rFonts w:ascii="Consolas" w:hAnsi="Consolas"/>
          <w:sz w:val="17"/>
        </w:rPr>
        <w:t>τ = 0,40</w:t>
      </w:r>
      <w:r>
        <w:rPr>
          <w:sz w:val="19"/>
        </w:rPr>
        <w:t xml:space="preserve">, il ne reste que 0,15 à trouver : sur les 71 paires retenues, </w:t>
      </w:r>
      <w:r>
        <w:rPr>
          <w:b/>
          <w:sz w:val="19"/>
        </w:rPr>
        <w:t>9 seulement</w:t>
      </w:r>
      <w:r>
        <w:rPr>
          <w:sz w:val="19"/>
        </w:rPr>
        <w:t xml:space="preserve"> tiendraient sur le signal textuel seul, et des paires complémentaires franchissent le seuil (React / Node.js à 0,432).</w:t>
      </w:r>
    </w:p>
    <w:p>
      <w:pPr>
        <w:pStyle w:val="ListBullet"/>
        <w:spacing w:after="20"/>
      </w:pPr>
      <w:r>
        <w:rPr>
          <w:b/>
          <w:sz w:val="19"/>
        </w:rPr>
        <w:t>Le dénombrement pèse peu à cette échelle.</w:t>
      </w:r>
      <w:r>
        <w:rPr>
          <w:sz w:val="19"/>
        </w:rPr>
        <w:t xml:space="preserve"> Sur React / Vue.js, le terme observé n'apporte que 0,034 sur 0,765 — 4 % du score. Le corpus est trop petit ; le rapport s'inversera avec le volume, et ce basculement est lui-même un résultat.</w:t>
      </w:r>
    </w:p>
    <w:p>
      <w:pPr>
        <w:pStyle w:val="ListBullet"/>
        <w:spacing w:after="20"/>
      </w:pPr>
      <w:r>
        <w:rPr>
          <w:b/>
          <w:sz w:val="19"/>
        </w:rPr>
        <w:t>sim n'est pas une distance.</w:t>
      </w:r>
      <w:r>
        <w:rPr>
          <w:sz w:val="19"/>
        </w:rPr>
        <w:t xml:space="preserve"> L'inégalité triangulaire n'est pas garantie et le seuil la rend non transitive.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1517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5172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135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135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