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w:t>
      </w:r>
      <w:proofErr w:type="gramStart"/>
      <w:r w:rsidR="00E01625" w:rsidRPr="0096310D">
        <w:rPr>
          <w:strike/>
        </w:rPr>
        <w:t>So</w:t>
      </w:r>
      <w:proofErr w:type="gramEnd"/>
      <w:r w:rsidR="00E01625" w:rsidRPr="0096310D">
        <w:rPr>
          <w:strike/>
        </w:rPr>
        <w:t xml:space="preserve">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w:t>
      </w:r>
      <w:proofErr w:type="gramStart"/>
      <w:r w:rsidRPr="0096310D">
        <w:t>,”b</w:t>
      </w:r>
      <w:proofErr w:type="gramEnd"/>
      <w:r w:rsidRPr="0096310D">
        <w:t>”,”c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w:t>
      </w:r>
      <w:proofErr w:type="gramStart"/>
      <w:r w:rsidRPr="0096310D">
        <w:t>,”Two</w:t>
      </w:r>
      <w:proofErr w:type="spellEnd"/>
      <w:proofErr w:type="gram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lastRenderedPageBreak/>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proofErr w:type="gramStart"/>
      <w:r w:rsidRPr="0096310D">
        <w:t>&gt;  ‘</w:t>
      </w:r>
      <w:proofErr w:type="gramEnd"/>
      <w:r w:rsidRPr="0096310D">
        <w:t>,’ &lt;x&gt; ‘,’ &lt;y&gt;: As above but with form position</w:t>
      </w:r>
    </w:p>
    <w:p w14:paraId="2AF8B804"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proofErr w:type="gramStart"/>
      <w:r w:rsidR="00890979" w:rsidRPr="0096310D">
        <w:t>&gt;  ‘</w:t>
      </w:r>
      <w:proofErr w:type="gramEnd"/>
      <w:r w:rsidR="00890979" w:rsidRPr="0096310D">
        <w:t>,’-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lastRenderedPageBreak/>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lastRenderedPageBreak/>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lastRenderedPageBreak/>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lastRenderedPageBreak/>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lastRenderedPageBreak/>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 xml:space="preserve">Default is </w:t>
      </w:r>
      <w:r w:rsidR="00262210">
        <w:t>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w:t>
      </w:r>
      <w:proofErr w:type="gramStart"/>
      <w:r w:rsidRPr="0096310D">
        <w:t>exist.</w:t>
      </w:r>
      <w:proofErr w:type="gramEnd"/>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lastRenderedPageBreak/>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w:t>
      </w:r>
      <w:proofErr w:type="gramStart"/>
      <w:r w:rsidRPr="0096310D">
        <w:t>EDDB  +</w:t>
      </w:r>
      <w:proofErr w:type="gramEnd"/>
      <w:r w:rsidRPr="0096310D">
        <w:t xml:space="preserve">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w:t>
      </w:r>
      <w:proofErr w:type="spellStart"/>
      <w:r w:rsidRPr="0096310D">
        <w:t>Json</w:t>
      </w:r>
      <w:proofErr w:type="spellEnd"/>
      <w:r w:rsidRPr="0096310D">
        <w:t xml:space="preserve">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lastRenderedPageBreak/>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19217</Words>
  <Characters>109538</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33</cp:revision>
  <dcterms:created xsi:type="dcterms:W3CDTF">2021-10-31T15:35:00Z</dcterms:created>
  <dcterms:modified xsi:type="dcterms:W3CDTF">2022-03-13T14:57:00Z</dcterms:modified>
</cp:coreProperties>
</file>