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Main_N_Value.</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r w:rsidRPr="0096310D">
        <w:t>GlobalLet</w:t>
      </w:r>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r w:rsidRPr="0096310D">
        <w:t xml:space="preserve">variable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r w:rsidRPr="0096310D">
        <w:lastRenderedPageBreak/>
        <w:t>PersistentGlobal</w:t>
      </w:r>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lastRenderedPageBreak/>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lastRenderedPageBreak/>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&lt;configurationlist&gt;]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Default means use either the windows system default, or values defined by global variables WaveVolume and WaveEffect.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w:t>
      </w:r>
      <w:r>
        <w:t>, empty if none</w:t>
      </w:r>
      <w:r>
        <w:t xml:space="preserv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 xml:space="preserve">BookedTaxi – </w:t>
      </w:r>
      <w:r>
        <w:t>booked a taxi</w:t>
      </w:r>
      <w:r>
        <w:t xml:space="preserve">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w:t>
      </w:r>
      <w:r>
        <w:t>Dropship</w:t>
      </w:r>
      <w:r>
        <w:t xml:space="preserve"> – </w:t>
      </w:r>
      <w:r>
        <w:t>booked a drop ship</w:t>
      </w:r>
      <w:r>
        <w:t xml:space="preserve">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w:t>
      </w:r>
      <w:r>
        <w:t>Type</w:t>
      </w:r>
      <w:r>
        <w:t xml:space="preserve"> – empty if none</w:t>
      </w:r>
      <w:r>
        <w:t>, Orbis etc</w:t>
      </w:r>
      <w:r>
        <w:t xml:space="preserve">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lastRenderedPageBreak/>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7D75"/>
    <w:rsid w:val="0024545B"/>
    <w:rsid w:val="00250B16"/>
    <w:rsid w:val="0026043E"/>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72</Pages>
  <Words>19119</Words>
  <Characters>108981</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24</cp:revision>
  <dcterms:created xsi:type="dcterms:W3CDTF">2021-10-31T15:35:00Z</dcterms:created>
  <dcterms:modified xsi:type="dcterms:W3CDTF">2022-03-04T17:16:00Z</dcterms:modified>
</cp:coreProperties>
</file>