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45B60DE2"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DC2327">
        <w:rPr>
          <w:sz w:val="28"/>
          <w:szCs w:val="28"/>
        </w:rPr>
        <w:t>8</w:t>
      </w:r>
      <w:r w:rsidRPr="0096310D">
        <w:rPr>
          <w:sz w:val="28"/>
          <w:szCs w:val="28"/>
        </w:rPr>
        <w:t xml:space="preserve">, for EDDiscovery </w:t>
      </w:r>
      <w:r w:rsidR="002A40F1">
        <w:rPr>
          <w:sz w:val="28"/>
          <w:szCs w:val="28"/>
        </w:rPr>
        <w:t>17</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lastRenderedPageBreak/>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lastRenderedPageBreak/>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gramStart"/>
      <w:r w:rsidRPr="0096310D">
        <w:t>IfEmpty,%</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xml:space="preserve">, %IfNotContains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lastRenderedPageBreak/>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lastRenderedPageBreak/>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lastRenderedPageBreak/>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SendTo,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lastRenderedPageBreak/>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gramStart"/>
      <w:r w:rsidR="003C7339" w:rsidRPr="0096310D">
        <w:t>EliteInputButtons”</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lastRenderedPageBreak/>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lastRenderedPageBreak/>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69E380B"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0C64108F" w14:textId="77777777" w:rsidR="00E95AA2" w:rsidRDefault="00E95AA2" w:rsidP="00E95AA2">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or SPANSH lookup occurred</w:t>
      </w:r>
    </w:p>
    <w:p w14:paraId="79127E5A" w14:textId="03F6F36B" w:rsidR="00E95AA2" w:rsidRPr="0096310D" w:rsidRDefault="00E95AA2" w:rsidP="00E95AA2">
      <w:pPr>
        <w:pStyle w:val="ListParagraph"/>
        <w:numPr>
          <w:ilvl w:val="0"/>
          <w:numId w:val="5"/>
        </w:numPr>
      </w:pPr>
      <w:r>
        <w:t xml:space="preserve">Prefix + </w:t>
      </w:r>
      <w:proofErr w:type="spellStart"/>
      <w:proofErr w:type="gramStart"/>
      <w:r>
        <w:t>EDSM</w:t>
      </w:r>
      <w:r>
        <w:t>NoData</w:t>
      </w:r>
      <w:proofErr w:type="spellEnd"/>
      <w:r>
        <w:t xml:space="preserve"> :</w:t>
      </w:r>
      <w:proofErr w:type="gramEnd"/>
      <w:r>
        <w:t xml:space="preserve"> set to 1 if EDSM or SPANSH lookup </w:t>
      </w:r>
      <w:r>
        <w:t>returned no data</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lastRenderedPageBreak/>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981B69C" w14:textId="77777777" w:rsidR="00B860DA" w:rsidRPr="0096310D" w:rsidRDefault="00B860DA" w:rsidP="00B860DA">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38D"/>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2E96"/>
    <w:rsid w:val="00C241AF"/>
    <w:rsid w:val="00C2755A"/>
    <w:rsid w:val="00C32FE5"/>
    <w:rsid w:val="00C352FD"/>
    <w:rsid w:val="00C362CA"/>
    <w:rsid w:val="00C451F0"/>
    <w:rsid w:val="00C45517"/>
    <w:rsid w:val="00C47752"/>
    <w:rsid w:val="00C47904"/>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76</Pages>
  <Words>19622</Words>
  <Characters>111852</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11</cp:revision>
  <dcterms:created xsi:type="dcterms:W3CDTF">2023-10-21T08:01:00Z</dcterms:created>
  <dcterms:modified xsi:type="dcterms:W3CDTF">2023-12-18T22:23:00Z</dcterms:modified>
</cp:coreProperties>
</file>