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41B9A" w14:textId="77777777" w:rsidR="00E91E8C" w:rsidRPr="00E91E8C" w:rsidRDefault="00E91E8C" w:rsidP="00E91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1E8C">
        <w:rPr>
          <w:rFonts w:ascii="Times New Roman" w:hAnsi="Times New Roman" w:cs="Times New Roman"/>
          <w:b/>
          <w:bCs/>
          <w:sz w:val="24"/>
          <w:szCs w:val="24"/>
        </w:rPr>
        <w:t>Reporte de accesibilidad</w:t>
      </w:r>
    </w:p>
    <w:p w14:paraId="70639033" w14:textId="77777777" w:rsidR="00E91E8C" w:rsidRPr="00E91E8C" w:rsidRDefault="00E91E8C" w:rsidP="00E91E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1E8C">
        <w:rPr>
          <w:rFonts w:ascii="Times New Roman" w:hAnsi="Times New Roman" w:cs="Times New Roman"/>
          <w:sz w:val="24"/>
          <w:szCs w:val="24"/>
        </w:rPr>
        <w:t>El Florero de Llorente · WCAG 2.2 / DUA aplicados al arte y al audio</w:t>
      </w:r>
    </w:p>
    <w:p w14:paraId="2FD30ED2" w14:textId="77777777" w:rsidR="00E91E8C" w:rsidRPr="00E91E8C" w:rsidRDefault="00E91E8C" w:rsidP="00E91E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1E8C">
        <w:rPr>
          <w:rFonts w:ascii="Times New Roman" w:hAnsi="Times New Roman" w:cs="Times New Roman"/>
          <w:b/>
          <w:bCs/>
          <w:sz w:val="24"/>
          <w:szCs w:val="24"/>
        </w:rPr>
        <w:t>Rol:</w:t>
      </w:r>
      <w:r w:rsidRPr="00E91E8C">
        <w:rPr>
          <w:rFonts w:ascii="Times New Roman" w:hAnsi="Times New Roman" w:cs="Times New Roman"/>
          <w:sz w:val="24"/>
          <w:szCs w:val="24"/>
        </w:rPr>
        <w:t xml:space="preserve"> Accesibilidad e Interfaz (UI)</w:t>
      </w:r>
    </w:p>
    <w:p w14:paraId="1E6AC979" w14:textId="5EC82722" w:rsidR="000A6CF9" w:rsidRDefault="00E91E8C" w:rsidP="00E91E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1E8C">
        <w:rPr>
          <w:rFonts w:ascii="Times New Roman" w:hAnsi="Times New Roman" w:cs="Times New Roman"/>
          <w:b/>
          <w:bCs/>
          <w:sz w:val="24"/>
          <w:szCs w:val="24"/>
        </w:rPr>
        <w:t>Elaborado por:</w:t>
      </w:r>
      <w:r w:rsidRPr="00E91E8C">
        <w:rPr>
          <w:rFonts w:ascii="Times New Roman" w:hAnsi="Times New Roman" w:cs="Times New Roman"/>
          <w:sz w:val="24"/>
          <w:szCs w:val="24"/>
        </w:rPr>
        <w:t xml:space="preserve"> Valentina Barrios Macías</w:t>
      </w:r>
    </w:p>
    <w:p w14:paraId="3F9225F5" w14:textId="798B579B" w:rsidR="00E91E8C" w:rsidRDefault="00E91E8C" w:rsidP="00E91E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E91E8C">
        <w:rPr>
          <w:rFonts w:ascii="Times New Roman" w:hAnsi="Times New Roman" w:cs="Times New Roman"/>
          <w:sz w:val="24"/>
          <w:szCs w:val="24"/>
        </w:rPr>
        <w:t>Este reporte muestra cómo se aplican los criterios WCAG 2.2 y DUA en el HUD, los subtítulos, los íconos y los controles de audio del minijuego. Parte de los criterios ya definidos en el GDD y los conecta con evidencias concretas. El estado de cada criterio indica si ya está diseñado, medido o pendiente de implementar en Unity.</w:t>
      </w:r>
    </w:p>
    <w:p w14:paraId="71ACD25C" w14:textId="77777777" w:rsidR="00533EBF" w:rsidRDefault="00533EBF" w:rsidP="00E91E8C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2F7EC74" w14:textId="329A3C6D" w:rsidR="00E91E8C" w:rsidRPr="00E91E8C" w:rsidRDefault="00E91E8C" w:rsidP="00E91E8C">
      <w:pPr>
        <w:pStyle w:val="Prrafodelista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91E8C">
        <w:rPr>
          <w:rFonts w:ascii="Times New Roman" w:hAnsi="Times New Roman" w:cs="Times New Roman"/>
          <w:b/>
          <w:bCs/>
          <w:sz w:val="24"/>
          <w:szCs w:val="24"/>
        </w:rPr>
        <w:t>Criterios WCAG 2.2</w:t>
      </w:r>
    </w:p>
    <w:p w14:paraId="0A4E5ECD" w14:textId="7EBFEF2C" w:rsidR="00E91E8C" w:rsidRDefault="00E91E8C" w:rsidP="00E91E8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7B3A9F" wp14:editId="239A8EB1">
            <wp:extent cx="4522470" cy="2545339"/>
            <wp:effectExtent l="19050" t="19050" r="11430" b="266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4991" cy="2558014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47"/>
        <w:gridCol w:w="3579"/>
        <w:gridCol w:w="2390"/>
        <w:gridCol w:w="1834"/>
      </w:tblGrid>
      <w:tr w:rsidR="00E91E8C" w14:paraId="75ACC16D" w14:textId="77777777" w:rsidTr="00E91E8C">
        <w:tc>
          <w:tcPr>
            <w:tcW w:w="1555" w:type="dxa"/>
            <w:shd w:val="clear" w:color="auto" w:fill="E9D9AD"/>
            <w:vAlign w:val="center"/>
          </w:tcPr>
          <w:p w14:paraId="0D53D12F" w14:textId="14053B20" w:rsidR="00E91E8C" w:rsidRDefault="00E91E8C" w:rsidP="00E91E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</w:t>
            </w:r>
          </w:p>
        </w:tc>
        <w:tc>
          <w:tcPr>
            <w:tcW w:w="3827" w:type="dxa"/>
            <w:shd w:val="clear" w:color="auto" w:fill="E9D9AD"/>
            <w:vAlign w:val="center"/>
          </w:tcPr>
          <w:p w14:paraId="638CB2F7" w14:textId="49E47823" w:rsidR="00E91E8C" w:rsidRDefault="00E91E8C" w:rsidP="00E91E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¿Cómo se aplica?</w:t>
            </w:r>
          </w:p>
        </w:tc>
        <w:tc>
          <w:tcPr>
            <w:tcW w:w="2126" w:type="dxa"/>
            <w:shd w:val="clear" w:color="auto" w:fill="E9D9AD"/>
            <w:vAlign w:val="center"/>
          </w:tcPr>
          <w:p w14:paraId="27BAA518" w14:textId="4E8B24C8" w:rsidR="00E91E8C" w:rsidRDefault="00E91E8C" w:rsidP="00E91E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Evidencia</w:t>
            </w:r>
          </w:p>
        </w:tc>
        <w:tc>
          <w:tcPr>
            <w:tcW w:w="1842" w:type="dxa"/>
            <w:shd w:val="clear" w:color="auto" w:fill="E9D9AD"/>
            <w:vAlign w:val="center"/>
          </w:tcPr>
          <w:p w14:paraId="3E5C4AC2" w14:textId="1139ABAC" w:rsidR="00E91E8C" w:rsidRDefault="00E91E8C" w:rsidP="00E91E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</w:tr>
      <w:tr w:rsidR="00E91E8C" w14:paraId="52128861" w14:textId="77777777" w:rsidTr="00E91E8C">
        <w:tc>
          <w:tcPr>
            <w:tcW w:w="1555" w:type="dxa"/>
            <w:vAlign w:val="center"/>
          </w:tcPr>
          <w:p w14:paraId="7F856157" w14:textId="230E138B" w:rsidR="00E91E8C" w:rsidRPr="00E91E8C" w:rsidRDefault="00E91E8C" w:rsidP="00E91E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1E8C">
              <w:rPr>
                <w:rFonts w:ascii="Times New Roman" w:hAnsi="Times New Roman" w:cs="Times New Roman"/>
                <w:sz w:val="24"/>
                <w:szCs w:val="24"/>
              </w:rPr>
              <w:t>1.4.3 Contraste mínimo (texto)</w:t>
            </w:r>
          </w:p>
        </w:tc>
        <w:tc>
          <w:tcPr>
            <w:tcW w:w="3827" w:type="dxa"/>
            <w:vAlign w:val="center"/>
          </w:tcPr>
          <w:p w14:paraId="3AF4326E" w14:textId="318B288E" w:rsidR="00E91E8C" w:rsidRPr="00E91E8C" w:rsidRDefault="00E91E8C" w:rsidP="00E91E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1E8C">
              <w:rPr>
                <w:rFonts w:ascii="Times New Roman" w:hAnsi="Times New Roman" w:cs="Times New Roman"/>
                <w:sz w:val="24"/>
                <w:szCs w:val="24"/>
              </w:rPr>
              <w:t xml:space="preserve">Texto oscuro (#1B2E3B) sobre panel claro en diálogos, ventana "¿Sabías </w:t>
            </w:r>
            <w:proofErr w:type="spellStart"/>
            <w:r w:rsidRPr="00E91E8C">
              <w:rPr>
                <w:rFonts w:ascii="Times New Roman" w:hAnsi="Times New Roman" w:cs="Times New Roman"/>
                <w:sz w:val="24"/>
                <w:szCs w:val="24"/>
              </w:rPr>
              <w:t>qué</w:t>
            </w:r>
            <w:proofErr w:type="spellEnd"/>
            <w:r w:rsidRPr="00E91E8C">
              <w:rPr>
                <w:rFonts w:ascii="Times New Roman" w:hAnsi="Times New Roman" w:cs="Times New Roman"/>
                <w:sz w:val="24"/>
                <w:szCs w:val="24"/>
              </w:rPr>
              <w:t>...?" y etiquetas del HUD.</w:t>
            </w:r>
          </w:p>
        </w:tc>
        <w:tc>
          <w:tcPr>
            <w:tcW w:w="2126" w:type="dxa"/>
            <w:vAlign w:val="center"/>
          </w:tcPr>
          <w:p w14:paraId="232406B6" w14:textId="77777777" w:rsidR="00E91E8C" w:rsidRPr="00E91E8C" w:rsidRDefault="00E91E8C" w:rsidP="00E91E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1E8C">
              <w:rPr>
                <w:rFonts w:ascii="Times New Roman" w:hAnsi="Times New Roman" w:cs="Times New Roman"/>
                <w:sz w:val="24"/>
                <w:szCs w:val="24"/>
              </w:rPr>
              <w:t>Mockup del HUD.</w:t>
            </w:r>
          </w:p>
          <w:p w14:paraId="453F681F" w14:textId="38223A1A" w:rsidR="00E91E8C" w:rsidRPr="00E91E8C" w:rsidRDefault="00E91E8C" w:rsidP="00E91E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1E8C">
              <w:rPr>
                <w:rFonts w:ascii="Times New Roman" w:hAnsi="Times New Roman" w:cs="Times New Roman"/>
                <w:sz w:val="24"/>
                <w:szCs w:val="24"/>
              </w:rPr>
              <w:t>Medición: 13,99:1 (AA exige 4,5:1).</w:t>
            </w:r>
          </w:p>
        </w:tc>
        <w:tc>
          <w:tcPr>
            <w:tcW w:w="1842" w:type="dxa"/>
            <w:vAlign w:val="center"/>
          </w:tcPr>
          <w:p w14:paraId="2C8A5603" w14:textId="3A67A315" w:rsidR="00E91E8C" w:rsidRPr="00E91E8C" w:rsidRDefault="00E91E8C" w:rsidP="00E91E8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1E8C">
              <w:rPr>
                <w:rFonts w:ascii="Times New Roman" w:hAnsi="Times New Roman" w:cs="Times New Roman"/>
                <w:sz w:val="24"/>
                <w:szCs w:val="24"/>
              </w:rPr>
              <w:t>Medido en mockup</w:t>
            </w:r>
          </w:p>
        </w:tc>
      </w:tr>
      <w:tr w:rsidR="00E91E8C" w14:paraId="34BC7886" w14:textId="77777777" w:rsidTr="00533EBF">
        <w:tc>
          <w:tcPr>
            <w:tcW w:w="1555" w:type="dxa"/>
            <w:vAlign w:val="center"/>
          </w:tcPr>
          <w:p w14:paraId="2C06E288" w14:textId="5C1F85C3" w:rsidR="00E91E8C" w:rsidRPr="00E91E8C" w:rsidRDefault="00E91E8C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1E8C">
              <w:rPr>
                <w:rFonts w:ascii="Times New Roman" w:hAnsi="Times New Roman" w:cs="Times New Roman"/>
                <w:sz w:val="24"/>
                <w:szCs w:val="24"/>
              </w:rPr>
              <w:t>1.4.11 Contraste no textual (íconos)</w:t>
            </w:r>
          </w:p>
        </w:tc>
        <w:tc>
          <w:tcPr>
            <w:tcW w:w="3827" w:type="dxa"/>
            <w:vAlign w:val="center"/>
          </w:tcPr>
          <w:p w14:paraId="1F2D4776" w14:textId="7B598934" w:rsidR="00E91E8C" w:rsidRPr="00E91E8C" w:rsidRDefault="00E91E8C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1E8C">
              <w:rPr>
                <w:rFonts w:ascii="Times New Roman" w:hAnsi="Times New Roman" w:cs="Times New Roman"/>
                <w:sz w:val="24"/>
                <w:szCs w:val="24"/>
              </w:rPr>
              <w:t xml:space="preserve">Íconos con contorno oscuro sobre marco crema. </w:t>
            </w:r>
          </w:p>
        </w:tc>
        <w:tc>
          <w:tcPr>
            <w:tcW w:w="2126" w:type="dxa"/>
            <w:vAlign w:val="center"/>
          </w:tcPr>
          <w:p w14:paraId="54A7DAA7" w14:textId="77777777" w:rsidR="00E91E8C" w:rsidRPr="00E91E8C" w:rsidRDefault="00E91E8C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1E8C">
              <w:rPr>
                <w:rFonts w:ascii="Times New Roman" w:hAnsi="Times New Roman" w:cs="Times New Roman"/>
                <w:sz w:val="24"/>
                <w:szCs w:val="24"/>
              </w:rPr>
              <w:t>Mockup del HUD.</w:t>
            </w:r>
          </w:p>
          <w:p w14:paraId="271B3B5B" w14:textId="452F019D" w:rsidR="00E91E8C" w:rsidRPr="00E91E8C" w:rsidRDefault="00E91E8C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91E8C">
              <w:rPr>
                <w:rFonts w:ascii="Times New Roman" w:hAnsi="Times New Roman" w:cs="Times New Roman"/>
                <w:sz w:val="24"/>
                <w:szCs w:val="24"/>
              </w:rPr>
              <w:t xml:space="preserve">Tabla de mediciones (sección </w:t>
            </w:r>
            <w:r w:rsidR="00533EBF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E91E8C">
              <w:rPr>
                <w:rFonts w:ascii="Times New Roman" w:hAnsi="Times New Roman" w:cs="Times New Roman"/>
                <w:sz w:val="24"/>
                <w:szCs w:val="24"/>
              </w:rPr>
              <w:t>).</w:t>
            </w:r>
          </w:p>
        </w:tc>
        <w:tc>
          <w:tcPr>
            <w:tcW w:w="1842" w:type="dxa"/>
            <w:vAlign w:val="center"/>
          </w:tcPr>
          <w:p w14:paraId="5AC0E275" w14:textId="6058FD51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Diseñado. Confirmar en Unity</w:t>
            </w:r>
          </w:p>
        </w:tc>
      </w:tr>
      <w:tr w:rsidR="00E91E8C" w14:paraId="0A9F3E1F" w14:textId="77777777" w:rsidTr="00533EBF">
        <w:tc>
          <w:tcPr>
            <w:tcW w:w="1555" w:type="dxa"/>
            <w:vAlign w:val="center"/>
          </w:tcPr>
          <w:p w14:paraId="3D68743D" w14:textId="5C14490A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1.4.4 Texto legible</w:t>
            </w:r>
          </w:p>
        </w:tc>
        <w:tc>
          <w:tcPr>
            <w:tcW w:w="3827" w:type="dxa"/>
            <w:vAlign w:val="center"/>
          </w:tcPr>
          <w:p w14:paraId="6B400D8B" w14:textId="2F91C05B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Fuente pixel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Press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Start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2P)</w:t>
            </w: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 xml:space="preserve"> de tamaño grande, con etiqueta de texto en cada elemento del HUD.</w:t>
            </w:r>
          </w:p>
        </w:tc>
        <w:tc>
          <w:tcPr>
            <w:tcW w:w="2126" w:type="dxa"/>
            <w:vAlign w:val="center"/>
          </w:tcPr>
          <w:p w14:paraId="13546EFB" w14:textId="72DE2159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Mockup del HUD.</w:t>
            </w:r>
          </w:p>
        </w:tc>
        <w:tc>
          <w:tcPr>
            <w:tcW w:w="1842" w:type="dxa"/>
            <w:vAlign w:val="center"/>
          </w:tcPr>
          <w:p w14:paraId="293252CD" w14:textId="515F49DE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Diseñado. Confirmar en Unity</w:t>
            </w:r>
          </w:p>
        </w:tc>
      </w:tr>
      <w:tr w:rsidR="00E91E8C" w14:paraId="5013D7C5" w14:textId="77777777" w:rsidTr="00533EBF">
        <w:tc>
          <w:tcPr>
            <w:tcW w:w="1555" w:type="dxa"/>
            <w:vAlign w:val="center"/>
          </w:tcPr>
          <w:p w14:paraId="1A1ECEDB" w14:textId="1E20ACBC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1.2.2 Subtítulos</w:t>
            </w:r>
          </w:p>
        </w:tc>
        <w:tc>
          <w:tcPr>
            <w:tcW w:w="3827" w:type="dxa"/>
            <w:vAlign w:val="center"/>
          </w:tcPr>
          <w:p w14:paraId="2AF265C0" w14:textId="46E0F432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Todas las conversaciones tienen subtítulo. La multitud usa un texto ambiental entre corchetes.</w:t>
            </w:r>
          </w:p>
        </w:tc>
        <w:tc>
          <w:tcPr>
            <w:tcW w:w="2126" w:type="dxa"/>
            <w:vAlign w:val="center"/>
          </w:tcPr>
          <w:p w14:paraId="30364773" w14:textId="1153B190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 xml:space="preserve">Tabla </w:t>
            </w:r>
            <w:r w:rsidRPr="00533EBF">
              <w:rPr>
                <w:rFonts w:ascii="Times New Roman" w:hAnsi="Times New Roman" w:cs="Times New Roman"/>
                <w:sz w:val="16"/>
                <w:szCs w:val="16"/>
              </w:rPr>
              <w:t>Subtitulos_Florero_Llorente.docx</w:t>
            </w:r>
          </w:p>
        </w:tc>
        <w:tc>
          <w:tcPr>
            <w:tcW w:w="1842" w:type="dxa"/>
            <w:vAlign w:val="center"/>
          </w:tcPr>
          <w:p w14:paraId="2D5FD24E" w14:textId="2A75F814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Diseñado. Implementación en Unity pendiente</w:t>
            </w:r>
          </w:p>
        </w:tc>
      </w:tr>
      <w:tr w:rsidR="00E91E8C" w14:paraId="464AFA40" w14:textId="77777777" w:rsidTr="00533EBF">
        <w:tc>
          <w:tcPr>
            <w:tcW w:w="1555" w:type="dxa"/>
            <w:vAlign w:val="center"/>
          </w:tcPr>
          <w:p w14:paraId="24498DD0" w14:textId="4BC5157D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1.4.2 Control de audio</w:t>
            </w:r>
          </w:p>
        </w:tc>
        <w:tc>
          <w:tcPr>
            <w:tcW w:w="3827" w:type="dxa"/>
            <w:vAlign w:val="center"/>
          </w:tcPr>
          <w:p w14:paraId="34D237F5" w14:textId="63836EE3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 xml:space="preserve">Íconos de volumen y música, cada uno con su etiqueta, para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activar</w:t>
            </w: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 xml:space="preserve"> o apagar el sonido por separado.</w:t>
            </w:r>
          </w:p>
        </w:tc>
        <w:tc>
          <w:tcPr>
            <w:tcW w:w="2126" w:type="dxa"/>
            <w:vAlign w:val="center"/>
          </w:tcPr>
          <w:p w14:paraId="7FB99235" w14:textId="0E925D83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Mockup del HUD (arriba a la derecha).</w:t>
            </w:r>
          </w:p>
        </w:tc>
        <w:tc>
          <w:tcPr>
            <w:tcW w:w="1842" w:type="dxa"/>
            <w:vAlign w:val="center"/>
          </w:tcPr>
          <w:p w14:paraId="0D2B0427" w14:textId="6FA26156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Diseñado. Implementación en Unity pendiente</w:t>
            </w:r>
          </w:p>
        </w:tc>
      </w:tr>
      <w:tr w:rsidR="00E91E8C" w14:paraId="4EEAFB7F" w14:textId="77777777" w:rsidTr="00533EBF">
        <w:tc>
          <w:tcPr>
            <w:tcW w:w="1555" w:type="dxa"/>
            <w:vAlign w:val="center"/>
          </w:tcPr>
          <w:p w14:paraId="456F37ED" w14:textId="546B6766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2.2.1 Ajuste de tiempo</w:t>
            </w:r>
          </w:p>
        </w:tc>
        <w:tc>
          <w:tcPr>
            <w:tcW w:w="3827" w:type="dxa"/>
            <w:vAlign w:val="center"/>
          </w:tcPr>
          <w:p w14:paraId="56C14E4C" w14:textId="0807A747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Los diálogos no avanzan solos: el jugador usa la flecha de continuar.</w:t>
            </w:r>
          </w:p>
        </w:tc>
        <w:tc>
          <w:tcPr>
            <w:tcW w:w="2126" w:type="dxa"/>
            <w:vAlign w:val="center"/>
          </w:tcPr>
          <w:p w14:paraId="50E59339" w14:textId="7F5B7B9D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Mockup del HUD (cuadro de diálogo).</w:t>
            </w:r>
          </w:p>
        </w:tc>
        <w:tc>
          <w:tcPr>
            <w:tcW w:w="1842" w:type="dxa"/>
            <w:vAlign w:val="center"/>
          </w:tcPr>
          <w:p w14:paraId="124DD4D7" w14:textId="0A12F198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Diseñado. Implementación en Unity pendiente</w:t>
            </w:r>
          </w:p>
        </w:tc>
      </w:tr>
      <w:tr w:rsidR="00E91E8C" w14:paraId="1896BC39" w14:textId="77777777" w:rsidTr="00533EBF">
        <w:tc>
          <w:tcPr>
            <w:tcW w:w="1555" w:type="dxa"/>
            <w:vAlign w:val="center"/>
          </w:tcPr>
          <w:p w14:paraId="27BF043D" w14:textId="7B1B5916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2.1.1 Teclado</w:t>
            </w:r>
          </w:p>
        </w:tc>
        <w:tc>
          <w:tcPr>
            <w:tcW w:w="3827" w:type="dxa"/>
            <w:vAlign w:val="center"/>
          </w:tcPr>
          <w:p w14:paraId="66126E7A" w14:textId="21514553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Movimiento con W, A, S, D y una sola tecla de acción (E), con su indicador "E - Interactuar".</w:t>
            </w:r>
          </w:p>
        </w:tc>
        <w:tc>
          <w:tcPr>
            <w:tcW w:w="2126" w:type="dxa"/>
            <w:vAlign w:val="center"/>
          </w:tcPr>
          <w:p w14:paraId="06C41328" w14:textId="77777777" w:rsidR="00533EBF" w:rsidRPr="00533EBF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GDD (mecánicas).</w:t>
            </w:r>
          </w:p>
          <w:p w14:paraId="6C2521BF" w14:textId="2B1F8AFF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Mockup del HUD.</w:t>
            </w:r>
          </w:p>
        </w:tc>
        <w:tc>
          <w:tcPr>
            <w:tcW w:w="1842" w:type="dxa"/>
            <w:vAlign w:val="center"/>
          </w:tcPr>
          <w:p w14:paraId="678C9E03" w14:textId="62E09001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Diseñado. Implementación en Unity pendiente</w:t>
            </w:r>
          </w:p>
        </w:tc>
      </w:tr>
      <w:tr w:rsidR="00E91E8C" w14:paraId="69220DD6" w14:textId="77777777" w:rsidTr="00533EBF">
        <w:tc>
          <w:tcPr>
            <w:tcW w:w="1555" w:type="dxa"/>
            <w:vAlign w:val="center"/>
          </w:tcPr>
          <w:p w14:paraId="6992CBBD" w14:textId="3FE02E67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3.3.2 Etiquetas e instrucciones</w:t>
            </w:r>
          </w:p>
        </w:tc>
        <w:tc>
          <w:tcPr>
            <w:tcW w:w="3827" w:type="dxa"/>
            <w:vAlign w:val="center"/>
          </w:tcPr>
          <w:p w14:paraId="3F9EF4A4" w14:textId="60A563F8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Ningún ícono va solo: Misión, Volumen, Música, Cuaderno, Inventario, Fichas e Interactuar llevan texto.</w:t>
            </w:r>
          </w:p>
        </w:tc>
        <w:tc>
          <w:tcPr>
            <w:tcW w:w="2126" w:type="dxa"/>
            <w:vAlign w:val="center"/>
          </w:tcPr>
          <w:p w14:paraId="501C0F65" w14:textId="18094FB7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Mockup del HUD.</w:t>
            </w:r>
          </w:p>
        </w:tc>
        <w:tc>
          <w:tcPr>
            <w:tcW w:w="1842" w:type="dxa"/>
            <w:vAlign w:val="center"/>
          </w:tcPr>
          <w:p w14:paraId="5F876B08" w14:textId="667370F8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Diseñado</w:t>
            </w:r>
          </w:p>
        </w:tc>
      </w:tr>
      <w:tr w:rsidR="00E91E8C" w14:paraId="4F4F333D" w14:textId="77777777" w:rsidTr="00533EBF">
        <w:tc>
          <w:tcPr>
            <w:tcW w:w="1555" w:type="dxa"/>
            <w:vAlign w:val="center"/>
          </w:tcPr>
          <w:p w14:paraId="03766344" w14:textId="287137C6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2.4.3 Orden y navegación predecible</w:t>
            </w:r>
          </w:p>
        </w:tc>
        <w:tc>
          <w:tcPr>
            <w:tcW w:w="3827" w:type="dxa"/>
            <w:vAlign w:val="center"/>
          </w:tcPr>
          <w:p w14:paraId="6FCADB2D" w14:textId="1218D4DE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El HUD fijo ocupa siempre las mismas zonas: misión y sonido arriba, botones y diálogo abajo.</w:t>
            </w:r>
          </w:p>
        </w:tc>
        <w:tc>
          <w:tcPr>
            <w:tcW w:w="2126" w:type="dxa"/>
            <w:vAlign w:val="center"/>
          </w:tcPr>
          <w:p w14:paraId="6D5330FD" w14:textId="77777777" w:rsidR="00533EBF" w:rsidRPr="00533EBF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Esquema de zonas del HUD.</w:t>
            </w:r>
          </w:p>
          <w:p w14:paraId="54474562" w14:textId="2B8B468F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33EBF">
              <w:rPr>
                <w:rFonts w:ascii="Times New Roman" w:hAnsi="Times New Roman" w:cs="Times New Roman"/>
                <w:sz w:val="24"/>
                <w:szCs w:val="24"/>
              </w:rPr>
              <w:t>Mockup.</w:t>
            </w:r>
          </w:p>
        </w:tc>
        <w:tc>
          <w:tcPr>
            <w:tcW w:w="1842" w:type="dxa"/>
            <w:vAlign w:val="center"/>
          </w:tcPr>
          <w:p w14:paraId="4D3D9A24" w14:textId="2FF2B507" w:rsidR="00E91E8C" w:rsidRPr="00E91E8C" w:rsidRDefault="00533EBF" w:rsidP="00533EB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Diseñado</w:t>
            </w:r>
          </w:p>
        </w:tc>
      </w:tr>
    </w:tbl>
    <w:p w14:paraId="7EB7FF6F" w14:textId="77777777" w:rsidR="002B137A" w:rsidRDefault="002B137A" w:rsidP="002B137A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493B44EE" w14:textId="6F158370" w:rsidR="00E91E8C" w:rsidRPr="002B137A" w:rsidRDefault="00533EBF" w:rsidP="002B137A">
      <w:pPr>
        <w:pStyle w:val="Prrafodelista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B137A">
        <w:rPr>
          <w:rFonts w:ascii="Times New Roman" w:hAnsi="Times New Roman" w:cs="Times New Roman"/>
          <w:b/>
          <w:bCs/>
          <w:sz w:val="24"/>
          <w:szCs w:val="24"/>
        </w:rPr>
        <w:t>Principios DUA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0"/>
        <w:gridCol w:w="5103"/>
        <w:gridCol w:w="1417"/>
      </w:tblGrid>
      <w:tr w:rsidR="002B137A" w14:paraId="7E2CB91E" w14:textId="77777777" w:rsidTr="002B137A">
        <w:tc>
          <w:tcPr>
            <w:tcW w:w="2830" w:type="dxa"/>
            <w:shd w:val="clear" w:color="auto" w:fill="E9D9AD"/>
            <w:vAlign w:val="center"/>
          </w:tcPr>
          <w:p w14:paraId="50DC3FC9" w14:textId="4A38F657" w:rsidR="002B137A" w:rsidRDefault="002B137A" w:rsidP="002B13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Principio</w:t>
            </w:r>
          </w:p>
        </w:tc>
        <w:tc>
          <w:tcPr>
            <w:tcW w:w="5103" w:type="dxa"/>
            <w:shd w:val="clear" w:color="auto" w:fill="E9D9AD"/>
            <w:vAlign w:val="center"/>
          </w:tcPr>
          <w:p w14:paraId="2C87F170" w14:textId="65E0A81C" w:rsidR="002B137A" w:rsidRDefault="002B137A" w:rsidP="002B13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¿Cómo se aplica?</w:t>
            </w:r>
          </w:p>
        </w:tc>
        <w:tc>
          <w:tcPr>
            <w:tcW w:w="1417" w:type="dxa"/>
            <w:shd w:val="clear" w:color="auto" w:fill="E9D9AD"/>
            <w:vAlign w:val="center"/>
          </w:tcPr>
          <w:p w14:paraId="76463358" w14:textId="674E9908" w:rsidR="002B137A" w:rsidRDefault="002B137A" w:rsidP="002B137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Estado</w:t>
            </w:r>
          </w:p>
        </w:tc>
      </w:tr>
      <w:tr w:rsidR="002B137A" w14:paraId="59F1274E" w14:textId="77777777" w:rsidTr="002B137A">
        <w:tc>
          <w:tcPr>
            <w:tcW w:w="2830" w:type="dxa"/>
            <w:vAlign w:val="center"/>
          </w:tcPr>
          <w:p w14:paraId="14C6A15F" w14:textId="10670A8C" w:rsidR="002B137A" w:rsidRPr="002B137A" w:rsidRDefault="002B137A" w:rsidP="002B13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37A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Representación múltiple</w:t>
            </w:r>
          </w:p>
        </w:tc>
        <w:tc>
          <w:tcPr>
            <w:tcW w:w="5103" w:type="dxa"/>
            <w:vAlign w:val="center"/>
          </w:tcPr>
          <w:p w14:paraId="23297B87" w14:textId="198EC5DB" w:rsidR="002B137A" w:rsidRPr="002B137A" w:rsidRDefault="002B137A" w:rsidP="002B13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37A">
              <w:rPr>
                <w:rFonts w:ascii="Times New Roman" w:hAnsi="Times New Roman" w:cs="Times New Roman"/>
                <w:sz w:val="24"/>
                <w:szCs w:val="24"/>
              </w:rPr>
              <w:t xml:space="preserve">La información histórica se entrega con texto, diálogo y elementos visuales (ventana "¿Sabías </w:t>
            </w:r>
            <w:proofErr w:type="spellStart"/>
            <w:r w:rsidRPr="002B137A">
              <w:rPr>
                <w:rFonts w:ascii="Times New Roman" w:hAnsi="Times New Roman" w:cs="Times New Roman"/>
                <w:sz w:val="24"/>
                <w:szCs w:val="24"/>
              </w:rPr>
              <w:t>qué</w:t>
            </w:r>
            <w:proofErr w:type="spellEnd"/>
            <w:r w:rsidRPr="002B137A">
              <w:rPr>
                <w:rFonts w:ascii="Times New Roman" w:hAnsi="Times New Roman" w:cs="Times New Roman"/>
                <w:sz w:val="24"/>
                <w:szCs w:val="24"/>
              </w:rPr>
              <w:t>...?", fichas, diálogos con subtítulos).</w:t>
            </w:r>
          </w:p>
        </w:tc>
        <w:tc>
          <w:tcPr>
            <w:tcW w:w="1417" w:type="dxa"/>
            <w:vAlign w:val="center"/>
          </w:tcPr>
          <w:p w14:paraId="09749E7F" w14:textId="39885F0B" w:rsidR="002B137A" w:rsidRPr="002B137A" w:rsidRDefault="002B137A" w:rsidP="002B13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Diseñado</w:t>
            </w:r>
          </w:p>
        </w:tc>
      </w:tr>
      <w:tr w:rsidR="002B137A" w14:paraId="4496DAEB" w14:textId="77777777" w:rsidTr="002B137A">
        <w:tc>
          <w:tcPr>
            <w:tcW w:w="2830" w:type="dxa"/>
            <w:vAlign w:val="center"/>
          </w:tcPr>
          <w:p w14:paraId="137DCBE2" w14:textId="7581F813" w:rsidR="002B137A" w:rsidRPr="002B137A" w:rsidRDefault="002B137A" w:rsidP="002B13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37A">
              <w:rPr>
                <w:rFonts w:ascii="Times New Roman" w:hAnsi="Times New Roman" w:cs="Times New Roman"/>
                <w:sz w:val="24"/>
                <w:szCs w:val="24"/>
              </w:rPr>
              <w:t>Acción y expresión múltiple</w:t>
            </w:r>
          </w:p>
        </w:tc>
        <w:tc>
          <w:tcPr>
            <w:tcW w:w="5103" w:type="dxa"/>
            <w:vAlign w:val="center"/>
          </w:tcPr>
          <w:p w14:paraId="5C0349D5" w14:textId="270C9F78" w:rsidR="002B137A" w:rsidRPr="002B137A" w:rsidRDefault="002B137A" w:rsidP="002B13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37A">
              <w:rPr>
                <w:rFonts w:ascii="Times New Roman" w:hAnsi="Times New Roman" w:cs="Times New Roman"/>
                <w:sz w:val="24"/>
                <w:szCs w:val="24"/>
              </w:rPr>
              <w:t>El jugador aprende explorando, conversando o consultando el cuaderno de notas, sin una sola vía obligatoria.</w:t>
            </w:r>
          </w:p>
        </w:tc>
        <w:tc>
          <w:tcPr>
            <w:tcW w:w="1417" w:type="dxa"/>
            <w:vAlign w:val="center"/>
          </w:tcPr>
          <w:p w14:paraId="05345B15" w14:textId="72555F82" w:rsidR="002B137A" w:rsidRPr="002B137A" w:rsidRDefault="002B137A" w:rsidP="002B13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Diseñado</w:t>
            </w:r>
          </w:p>
        </w:tc>
      </w:tr>
      <w:tr w:rsidR="002B137A" w14:paraId="613698CC" w14:textId="77777777" w:rsidTr="002B137A">
        <w:tc>
          <w:tcPr>
            <w:tcW w:w="2830" w:type="dxa"/>
            <w:vAlign w:val="center"/>
          </w:tcPr>
          <w:p w14:paraId="6A593C3D" w14:textId="11AE1FD0" w:rsidR="002B137A" w:rsidRPr="002B137A" w:rsidRDefault="002B137A" w:rsidP="002B13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37A">
              <w:rPr>
                <w:rFonts w:ascii="Times New Roman" w:hAnsi="Times New Roman" w:cs="Times New Roman"/>
                <w:sz w:val="24"/>
                <w:szCs w:val="24"/>
              </w:rPr>
              <w:t>Motivación e implicación</w:t>
            </w:r>
          </w:p>
        </w:tc>
        <w:tc>
          <w:tcPr>
            <w:tcW w:w="5103" w:type="dxa"/>
            <w:vAlign w:val="center"/>
          </w:tcPr>
          <w:p w14:paraId="7C68EC50" w14:textId="566068B2" w:rsidR="002B137A" w:rsidRPr="002B137A" w:rsidRDefault="002B137A" w:rsidP="002B13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B137A">
              <w:rPr>
                <w:rFonts w:ascii="Times New Roman" w:hAnsi="Times New Roman" w:cs="Times New Roman"/>
                <w:sz w:val="24"/>
                <w:szCs w:val="24"/>
              </w:rPr>
              <w:t>La misión principal es obligatoria; las fichas históricas adicionales son opcionales y cada jugador regula su profundidad.</w:t>
            </w:r>
          </w:p>
        </w:tc>
        <w:tc>
          <w:tcPr>
            <w:tcW w:w="1417" w:type="dxa"/>
            <w:vAlign w:val="center"/>
          </w:tcPr>
          <w:p w14:paraId="603EB870" w14:textId="6BFC267E" w:rsidR="002B137A" w:rsidRPr="002B137A" w:rsidRDefault="002B137A" w:rsidP="002B137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Diseñado</w:t>
            </w:r>
          </w:p>
        </w:tc>
      </w:tr>
    </w:tbl>
    <w:p w14:paraId="6643ECF3" w14:textId="41165165" w:rsidR="00533EBF" w:rsidRDefault="00533EBF" w:rsidP="00533EBF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3D59F3" w14:textId="5CC972A7" w:rsidR="002B137A" w:rsidRDefault="002B137A" w:rsidP="002B137A">
      <w:pPr>
        <w:pStyle w:val="Prrafodelista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Mediciones de contraste</w:t>
      </w:r>
    </w:p>
    <w:p w14:paraId="37406003" w14:textId="4DD41F1A" w:rsidR="002B137A" w:rsidRDefault="002B137A" w:rsidP="002B137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2B137A">
        <w:rPr>
          <w:rFonts w:ascii="Times New Roman" w:hAnsi="Times New Roman" w:cs="Times New Roman"/>
          <w:sz w:val="24"/>
          <w:szCs w:val="24"/>
        </w:rPr>
        <w:t xml:space="preserve">Los valores se calcularon con la fórmula de contraste de WCAG sobre el mockup del HUD. </w:t>
      </w:r>
    </w:p>
    <w:p w14:paraId="5DB9FA31" w14:textId="463650A4" w:rsidR="002B137A" w:rsidRDefault="0064556E" w:rsidP="002B137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CC07062" wp14:editId="6DA41A0B">
            <wp:extent cx="2880000" cy="1362262"/>
            <wp:effectExtent l="19050" t="19050" r="15875" b="285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36226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B137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EBB253E" wp14:editId="2440FC2B">
            <wp:extent cx="2880000" cy="1362262"/>
            <wp:effectExtent l="19050" t="19050" r="15875" b="2857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362262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5E2040" w14:textId="7EE56913" w:rsidR="002B137A" w:rsidRDefault="002B137A" w:rsidP="002B137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004CFD" wp14:editId="4593D387">
            <wp:extent cx="2880000" cy="1365964"/>
            <wp:effectExtent l="19050" t="19050" r="15875" b="2476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36596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03E457" wp14:editId="5C808AC9">
            <wp:extent cx="2880000" cy="1365964"/>
            <wp:effectExtent l="19050" t="19050" r="15875" b="2476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365964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FCF2DE" w14:textId="0990189A" w:rsidR="00C858EE" w:rsidRDefault="00C858EE" w:rsidP="002B137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40ABEAB" wp14:editId="72058526">
            <wp:extent cx="2880000" cy="1369666"/>
            <wp:effectExtent l="19050" t="19050" r="15875" b="215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36966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1142E0" wp14:editId="22F6E220">
            <wp:extent cx="2880000" cy="1369666"/>
            <wp:effectExtent l="19050" t="19050" r="15875" b="215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369666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47"/>
        <w:gridCol w:w="1559"/>
        <w:gridCol w:w="1559"/>
        <w:gridCol w:w="1418"/>
        <w:gridCol w:w="2267"/>
      </w:tblGrid>
      <w:tr w:rsidR="0064556E" w14:paraId="53F4556A" w14:textId="77777777" w:rsidTr="00C858EE">
        <w:tc>
          <w:tcPr>
            <w:tcW w:w="2547" w:type="dxa"/>
            <w:shd w:val="clear" w:color="auto" w:fill="E9D9AD"/>
            <w:vAlign w:val="center"/>
          </w:tcPr>
          <w:p w14:paraId="6D8EB4CB" w14:textId="349294F1" w:rsidR="0064556E" w:rsidRPr="00C858EE" w:rsidRDefault="0064556E" w:rsidP="00C858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8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Elemento</w:t>
            </w:r>
          </w:p>
        </w:tc>
        <w:tc>
          <w:tcPr>
            <w:tcW w:w="1559" w:type="dxa"/>
            <w:shd w:val="clear" w:color="auto" w:fill="E9D9AD"/>
            <w:vAlign w:val="center"/>
          </w:tcPr>
          <w:p w14:paraId="16BAC503" w14:textId="0A5BCBCE" w:rsidR="0064556E" w:rsidRPr="00C858EE" w:rsidRDefault="0064556E" w:rsidP="00C858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8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Color</w:t>
            </w:r>
          </w:p>
        </w:tc>
        <w:tc>
          <w:tcPr>
            <w:tcW w:w="1559" w:type="dxa"/>
            <w:shd w:val="clear" w:color="auto" w:fill="E9D9AD"/>
            <w:vAlign w:val="center"/>
          </w:tcPr>
          <w:p w14:paraId="1624C1E9" w14:textId="48349F32" w:rsidR="0064556E" w:rsidRPr="00C858EE" w:rsidRDefault="0064556E" w:rsidP="00C858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8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Fondo</w:t>
            </w:r>
          </w:p>
        </w:tc>
        <w:tc>
          <w:tcPr>
            <w:tcW w:w="1418" w:type="dxa"/>
            <w:shd w:val="clear" w:color="auto" w:fill="E9D9AD"/>
            <w:vAlign w:val="center"/>
          </w:tcPr>
          <w:p w14:paraId="1B2FB581" w14:textId="15F06DE7" w:rsidR="0064556E" w:rsidRPr="00C858EE" w:rsidRDefault="0064556E" w:rsidP="00C858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8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Contraste</w:t>
            </w:r>
          </w:p>
        </w:tc>
        <w:tc>
          <w:tcPr>
            <w:tcW w:w="2267" w:type="dxa"/>
            <w:shd w:val="clear" w:color="auto" w:fill="E9D9AD"/>
            <w:vAlign w:val="center"/>
          </w:tcPr>
          <w:p w14:paraId="1052CFA3" w14:textId="4412D649" w:rsidR="0064556E" w:rsidRPr="00C858EE" w:rsidRDefault="0064556E" w:rsidP="00C858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858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Resultado</w:t>
            </w:r>
          </w:p>
        </w:tc>
      </w:tr>
      <w:tr w:rsidR="0064556E" w14:paraId="66CA91EB" w14:textId="77777777" w:rsidTr="00C858EE">
        <w:tc>
          <w:tcPr>
            <w:tcW w:w="2547" w:type="dxa"/>
            <w:vAlign w:val="center"/>
          </w:tcPr>
          <w:p w14:paraId="5F7D9BFF" w14:textId="5896FB22" w:rsidR="0064556E" w:rsidRDefault="0064556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Texto de diálogos y etiquetas</w:t>
            </w:r>
          </w:p>
        </w:tc>
        <w:tc>
          <w:tcPr>
            <w:tcW w:w="1559" w:type="dxa"/>
            <w:vAlign w:val="center"/>
          </w:tcPr>
          <w:p w14:paraId="70D67354" w14:textId="4E3085C2" w:rsidR="0064556E" w:rsidRDefault="0064556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#1B2E3B</w:t>
            </w:r>
          </w:p>
        </w:tc>
        <w:tc>
          <w:tcPr>
            <w:tcW w:w="1559" w:type="dxa"/>
            <w:vAlign w:val="center"/>
          </w:tcPr>
          <w:p w14:paraId="6E135AB8" w14:textId="535F12D0" w:rsidR="0064556E" w:rsidRDefault="0064556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#FFFFFF</w:t>
            </w:r>
          </w:p>
        </w:tc>
        <w:tc>
          <w:tcPr>
            <w:tcW w:w="1418" w:type="dxa"/>
            <w:vAlign w:val="center"/>
          </w:tcPr>
          <w:p w14:paraId="778C32C3" w14:textId="4B7623E0" w:rsidR="0064556E" w:rsidRDefault="0064556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13,99:1</w:t>
            </w:r>
          </w:p>
        </w:tc>
        <w:tc>
          <w:tcPr>
            <w:tcW w:w="2267" w:type="dxa"/>
            <w:vAlign w:val="center"/>
          </w:tcPr>
          <w:p w14:paraId="58844EA9" w14:textId="7DC67C4D" w:rsidR="0064556E" w:rsidRDefault="0064556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Cumple AA y AAA</w:t>
            </w:r>
          </w:p>
        </w:tc>
      </w:tr>
      <w:tr w:rsidR="0064556E" w14:paraId="7A49B760" w14:textId="77777777" w:rsidTr="00C858EE">
        <w:tc>
          <w:tcPr>
            <w:tcW w:w="2547" w:type="dxa"/>
            <w:vAlign w:val="center"/>
          </w:tcPr>
          <w:p w14:paraId="044CCD20" w14:textId="0FFCAB9B" w:rsidR="0064556E" w:rsidRDefault="0064556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Ícono de volumen</w:t>
            </w:r>
          </w:p>
        </w:tc>
        <w:tc>
          <w:tcPr>
            <w:tcW w:w="1559" w:type="dxa"/>
            <w:vAlign w:val="center"/>
          </w:tcPr>
          <w:p w14:paraId="1165F58E" w14:textId="2E22483C" w:rsidR="0064556E" w:rsidRDefault="0064556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#</w:t>
            </w:r>
            <w:r>
              <w:t xml:space="preserve"> </w:t>
            </w: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FE8002</w:t>
            </w:r>
          </w:p>
        </w:tc>
        <w:tc>
          <w:tcPr>
            <w:tcW w:w="1559" w:type="dxa"/>
            <w:vAlign w:val="center"/>
          </w:tcPr>
          <w:p w14:paraId="0F8A1384" w14:textId="67FBF142" w:rsidR="0064556E" w:rsidRDefault="0064556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#FDF3D2</w:t>
            </w:r>
          </w:p>
        </w:tc>
        <w:tc>
          <w:tcPr>
            <w:tcW w:w="1418" w:type="dxa"/>
            <w:vAlign w:val="center"/>
          </w:tcPr>
          <w:p w14:paraId="3F1B7B01" w14:textId="46E7CAEF" w:rsidR="0064556E" w:rsidRDefault="0064556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2,27:1</w:t>
            </w:r>
          </w:p>
        </w:tc>
        <w:tc>
          <w:tcPr>
            <w:tcW w:w="2267" w:type="dxa"/>
            <w:vAlign w:val="center"/>
          </w:tcPr>
          <w:p w14:paraId="75F87C43" w14:textId="76CEFA43" w:rsidR="0064556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Bajo 3:1</w:t>
            </w:r>
          </w:p>
          <w:p w14:paraId="1C4ABD37" w14:textId="6C9CE5E5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 embargo, cuenta con un contorno café que ayuda a elevar el contraste 6.65.1</w:t>
            </w:r>
          </w:p>
        </w:tc>
      </w:tr>
      <w:tr w:rsidR="0064556E" w14:paraId="6C2A8341" w14:textId="77777777" w:rsidTr="00C858EE">
        <w:tc>
          <w:tcPr>
            <w:tcW w:w="2547" w:type="dxa"/>
            <w:vAlign w:val="center"/>
          </w:tcPr>
          <w:p w14:paraId="790CDA41" w14:textId="1E102A45" w:rsidR="0064556E" w:rsidRDefault="0064556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Ícono de música</w:t>
            </w:r>
          </w:p>
        </w:tc>
        <w:tc>
          <w:tcPr>
            <w:tcW w:w="1559" w:type="dxa"/>
            <w:vAlign w:val="center"/>
          </w:tcPr>
          <w:p w14:paraId="7D1DDD88" w14:textId="7DF160F8" w:rsidR="0064556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</w:t>
            </w: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vAlign w:val="center"/>
          </w:tcPr>
          <w:p w14:paraId="7DC8963A" w14:textId="08D3779F" w:rsidR="0064556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#FDF3D2</w:t>
            </w:r>
          </w:p>
        </w:tc>
        <w:tc>
          <w:tcPr>
            <w:tcW w:w="1418" w:type="dxa"/>
            <w:vAlign w:val="center"/>
          </w:tcPr>
          <w:p w14:paraId="13381799" w14:textId="1A03B5A6" w:rsidR="0064556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7.17.1</w:t>
            </w:r>
          </w:p>
        </w:tc>
        <w:tc>
          <w:tcPr>
            <w:tcW w:w="2267" w:type="dxa"/>
            <w:vAlign w:val="center"/>
          </w:tcPr>
          <w:p w14:paraId="69EE0B0B" w14:textId="7605B61E" w:rsidR="0064556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Cumple 3:1</w:t>
            </w:r>
          </w:p>
        </w:tc>
      </w:tr>
      <w:tr w:rsidR="00C858EE" w14:paraId="14A14B80" w14:textId="77777777" w:rsidTr="00C858EE">
        <w:tc>
          <w:tcPr>
            <w:tcW w:w="2547" w:type="dxa"/>
            <w:vAlign w:val="center"/>
          </w:tcPr>
          <w:p w14:paraId="35FA41C9" w14:textId="5591C0EA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Ícono de inventario</w:t>
            </w:r>
          </w:p>
        </w:tc>
        <w:tc>
          <w:tcPr>
            <w:tcW w:w="1559" w:type="dxa"/>
            <w:vAlign w:val="center"/>
          </w:tcPr>
          <w:p w14:paraId="5CBA8885" w14:textId="3FD4A43B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#6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559" w:type="dxa"/>
            <w:vAlign w:val="center"/>
          </w:tcPr>
          <w:p w14:paraId="7B14419C" w14:textId="6E0F225F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#FDF3D2</w:t>
            </w:r>
          </w:p>
        </w:tc>
        <w:tc>
          <w:tcPr>
            <w:tcW w:w="1418" w:type="dxa"/>
            <w:vAlign w:val="center"/>
          </w:tcPr>
          <w:p w14:paraId="53260212" w14:textId="1C1F2707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7.17.1</w:t>
            </w:r>
          </w:p>
        </w:tc>
        <w:tc>
          <w:tcPr>
            <w:tcW w:w="2267" w:type="dxa"/>
            <w:vAlign w:val="center"/>
          </w:tcPr>
          <w:p w14:paraId="742A44E0" w14:textId="7228EF36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Cumple 3:1</w:t>
            </w:r>
          </w:p>
        </w:tc>
      </w:tr>
      <w:tr w:rsidR="00C858EE" w14:paraId="48794F9B" w14:textId="77777777" w:rsidTr="00C858EE">
        <w:tc>
          <w:tcPr>
            <w:tcW w:w="2547" w:type="dxa"/>
            <w:vAlign w:val="center"/>
          </w:tcPr>
          <w:p w14:paraId="0ADA2660" w14:textId="02B3598D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Ícono de tecla E</w:t>
            </w:r>
          </w:p>
        </w:tc>
        <w:tc>
          <w:tcPr>
            <w:tcW w:w="1559" w:type="dxa"/>
            <w:vAlign w:val="center"/>
          </w:tcPr>
          <w:p w14:paraId="6DFEDF2E" w14:textId="0070142A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#6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559" w:type="dxa"/>
            <w:vAlign w:val="center"/>
          </w:tcPr>
          <w:p w14:paraId="65C4CB4A" w14:textId="66C24308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#FDF3D2</w:t>
            </w:r>
          </w:p>
        </w:tc>
        <w:tc>
          <w:tcPr>
            <w:tcW w:w="1418" w:type="dxa"/>
            <w:vAlign w:val="center"/>
          </w:tcPr>
          <w:p w14:paraId="49B7BF28" w14:textId="45927774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7.17.1</w:t>
            </w:r>
          </w:p>
        </w:tc>
        <w:tc>
          <w:tcPr>
            <w:tcW w:w="2267" w:type="dxa"/>
            <w:vAlign w:val="center"/>
          </w:tcPr>
          <w:p w14:paraId="292D433D" w14:textId="1EFD7183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Cumple 3:1</w:t>
            </w:r>
          </w:p>
        </w:tc>
      </w:tr>
      <w:tr w:rsidR="00C858EE" w14:paraId="63329A53" w14:textId="77777777" w:rsidTr="00C858EE">
        <w:tc>
          <w:tcPr>
            <w:tcW w:w="2547" w:type="dxa"/>
            <w:vAlign w:val="center"/>
          </w:tcPr>
          <w:p w14:paraId="70EFBBFB" w14:textId="6CC28EEE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Ícono de cuaderno</w:t>
            </w:r>
          </w:p>
        </w:tc>
        <w:tc>
          <w:tcPr>
            <w:tcW w:w="1559" w:type="dxa"/>
            <w:vAlign w:val="center"/>
          </w:tcPr>
          <w:p w14:paraId="380B81BF" w14:textId="33D98678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#987749</w:t>
            </w:r>
          </w:p>
        </w:tc>
        <w:tc>
          <w:tcPr>
            <w:tcW w:w="1559" w:type="dxa"/>
            <w:vAlign w:val="center"/>
          </w:tcPr>
          <w:p w14:paraId="2C7D5614" w14:textId="4EB5C15E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#FDF3D2</w:t>
            </w:r>
          </w:p>
        </w:tc>
        <w:tc>
          <w:tcPr>
            <w:tcW w:w="1418" w:type="dxa"/>
            <w:vAlign w:val="center"/>
          </w:tcPr>
          <w:p w14:paraId="5F5C0100" w14:textId="491318C0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3.73.1</w:t>
            </w:r>
          </w:p>
        </w:tc>
        <w:tc>
          <w:tcPr>
            <w:tcW w:w="2267" w:type="dxa"/>
            <w:vAlign w:val="center"/>
          </w:tcPr>
          <w:p w14:paraId="679F3EA1" w14:textId="57DDF057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Cumple 3:1</w:t>
            </w:r>
          </w:p>
        </w:tc>
      </w:tr>
      <w:tr w:rsidR="00C858EE" w14:paraId="54CA461F" w14:textId="77777777" w:rsidTr="00C858EE">
        <w:tc>
          <w:tcPr>
            <w:tcW w:w="2547" w:type="dxa"/>
            <w:vAlign w:val="center"/>
          </w:tcPr>
          <w:p w14:paraId="27575B50" w14:textId="796D731D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Ícono de flecha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continuar</w:t>
            </w:r>
          </w:p>
        </w:tc>
        <w:tc>
          <w:tcPr>
            <w:tcW w:w="1559" w:type="dxa"/>
            <w:vAlign w:val="center"/>
          </w:tcPr>
          <w:p w14:paraId="5D56DAE3" w14:textId="7F4C49BC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#A</w:t>
            </w: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18152</w:t>
            </w:r>
          </w:p>
        </w:tc>
        <w:tc>
          <w:tcPr>
            <w:tcW w:w="1559" w:type="dxa"/>
            <w:vAlign w:val="center"/>
          </w:tcPr>
          <w:p w14:paraId="68181399" w14:textId="480ABE9E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#FDF3D2</w:t>
            </w:r>
          </w:p>
        </w:tc>
        <w:tc>
          <w:tcPr>
            <w:tcW w:w="1418" w:type="dxa"/>
            <w:vAlign w:val="center"/>
          </w:tcPr>
          <w:p w14:paraId="7EB4CC50" w14:textId="0C1F2B03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3.27.1</w:t>
            </w:r>
          </w:p>
        </w:tc>
        <w:tc>
          <w:tcPr>
            <w:tcW w:w="2267" w:type="dxa"/>
            <w:vAlign w:val="center"/>
          </w:tcPr>
          <w:p w14:paraId="790F234D" w14:textId="29B2EF5F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Cumple 3:1</w:t>
            </w:r>
          </w:p>
        </w:tc>
      </w:tr>
      <w:tr w:rsidR="00C858EE" w14:paraId="771695CC" w14:textId="77777777" w:rsidTr="00C858EE">
        <w:tc>
          <w:tcPr>
            <w:tcW w:w="2547" w:type="dxa"/>
            <w:vAlign w:val="center"/>
          </w:tcPr>
          <w:p w14:paraId="04A8C2BF" w14:textId="64EF0B84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Íconos de misión</w:t>
            </w:r>
          </w:p>
        </w:tc>
        <w:tc>
          <w:tcPr>
            <w:tcW w:w="1559" w:type="dxa"/>
            <w:vAlign w:val="center"/>
          </w:tcPr>
          <w:p w14:paraId="5943BE2D" w14:textId="61DCF2B1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</w:t>
            </w: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DDC088</w:t>
            </w:r>
          </w:p>
        </w:tc>
        <w:tc>
          <w:tcPr>
            <w:tcW w:w="1559" w:type="dxa"/>
            <w:vAlign w:val="center"/>
          </w:tcPr>
          <w:p w14:paraId="16E3A54F" w14:textId="17B130B5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#FDF3D2</w:t>
            </w:r>
          </w:p>
        </w:tc>
        <w:tc>
          <w:tcPr>
            <w:tcW w:w="1418" w:type="dxa"/>
            <w:vAlign w:val="center"/>
          </w:tcPr>
          <w:p w14:paraId="36497CD3" w14:textId="5B706F60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1.58.1</w:t>
            </w:r>
          </w:p>
        </w:tc>
        <w:tc>
          <w:tcPr>
            <w:tcW w:w="2267" w:type="dxa"/>
            <w:vAlign w:val="center"/>
          </w:tcPr>
          <w:p w14:paraId="2ECE884F" w14:textId="4D37F56B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Bajo 3:1</w:t>
            </w:r>
          </w:p>
          <w:p w14:paraId="3C467C2D" w14:textId="12146099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 embargo, cuenta con un contorno café que ayuda a elevar el contraste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6.65.1</w:t>
            </w:r>
          </w:p>
        </w:tc>
      </w:tr>
      <w:tr w:rsidR="00C858EE" w14:paraId="28187D21" w14:textId="77777777" w:rsidTr="00C858EE">
        <w:tc>
          <w:tcPr>
            <w:tcW w:w="2547" w:type="dxa"/>
            <w:vAlign w:val="center"/>
          </w:tcPr>
          <w:p w14:paraId="7D1481F5" w14:textId="0D684DAC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Icono de ficha</w:t>
            </w:r>
          </w:p>
        </w:tc>
        <w:tc>
          <w:tcPr>
            <w:tcW w:w="1559" w:type="dxa"/>
            <w:vAlign w:val="center"/>
          </w:tcPr>
          <w:p w14:paraId="16CA93AF" w14:textId="447544CB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</w:t>
            </w: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DBBF8F</w:t>
            </w:r>
          </w:p>
        </w:tc>
        <w:tc>
          <w:tcPr>
            <w:tcW w:w="1559" w:type="dxa"/>
            <w:vAlign w:val="center"/>
          </w:tcPr>
          <w:p w14:paraId="749067D4" w14:textId="71B078F3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#FDF3D2</w:t>
            </w:r>
          </w:p>
        </w:tc>
        <w:tc>
          <w:tcPr>
            <w:tcW w:w="1418" w:type="dxa"/>
            <w:vAlign w:val="center"/>
          </w:tcPr>
          <w:p w14:paraId="62EC2640" w14:textId="6929478E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1.59.1</w:t>
            </w:r>
          </w:p>
        </w:tc>
        <w:tc>
          <w:tcPr>
            <w:tcW w:w="2267" w:type="dxa"/>
            <w:vAlign w:val="center"/>
          </w:tcPr>
          <w:p w14:paraId="4512C5A0" w14:textId="77777777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Bajo 3:1</w:t>
            </w:r>
          </w:p>
          <w:p w14:paraId="1884575E" w14:textId="7C3467E2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 embargo, cuenta con un contorno café que ayuda a elevar el contraste 6.65.1</w:t>
            </w:r>
          </w:p>
        </w:tc>
      </w:tr>
      <w:tr w:rsidR="00C858EE" w14:paraId="651D7274" w14:textId="77777777" w:rsidTr="00C858EE">
        <w:tc>
          <w:tcPr>
            <w:tcW w:w="2547" w:type="dxa"/>
            <w:vAlign w:val="center"/>
          </w:tcPr>
          <w:p w14:paraId="5DA6A395" w14:textId="24F00BC8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Icono de bombilla</w:t>
            </w:r>
          </w:p>
        </w:tc>
        <w:tc>
          <w:tcPr>
            <w:tcW w:w="1559" w:type="dxa"/>
            <w:vAlign w:val="center"/>
          </w:tcPr>
          <w:p w14:paraId="5CDE83B0" w14:textId="5C06F847" w:rsidR="00C858EE" w:rsidRDefault="00486517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#</w:t>
            </w:r>
            <w:r w:rsidRPr="00486517">
              <w:rPr>
                <w:rFonts w:ascii="Times New Roman" w:hAnsi="Times New Roman" w:cs="Times New Roman"/>
                <w:sz w:val="24"/>
                <w:szCs w:val="24"/>
              </w:rPr>
              <w:t>FCE9AE</w:t>
            </w:r>
          </w:p>
        </w:tc>
        <w:tc>
          <w:tcPr>
            <w:tcW w:w="1559" w:type="dxa"/>
            <w:vAlign w:val="center"/>
          </w:tcPr>
          <w:p w14:paraId="5F6EDABE" w14:textId="24CDFFC6" w:rsidR="00C858EE" w:rsidRDefault="00486517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4556E">
              <w:rPr>
                <w:rFonts w:ascii="Times New Roman" w:hAnsi="Times New Roman" w:cs="Times New Roman"/>
                <w:sz w:val="24"/>
                <w:szCs w:val="24"/>
              </w:rPr>
              <w:t>#FDF3D2</w:t>
            </w:r>
          </w:p>
        </w:tc>
        <w:tc>
          <w:tcPr>
            <w:tcW w:w="1418" w:type="dxa"/>
            <w:vAlign w:val="center"/>
          </w:tcPr>
          <w:p w14:paraId="3ACA82C4" w14:textId="049BE668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1.08.1</w:t>
            </w:r>
          </w:p>
        </w:tc>
        <w:tc>
          <w:tcPr>
            <w:tcW w:w="2267" w:type="dxa"/>
            <w:vAlign w:val="center"/>
          </w:tcPr>
          <w:p w14:paraId="5C337D08" w14:textId="77777777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858EE">
              <w:rPr>
                <w:rFonts w:ascii="Times New Roman" w:hAnsi="Times New Roman" w:cs="Times New Roman"/>
                <w:sz w:val="24"/>
                <w:szCs w:val="24"/>
              </w:rPr>
              <w:t>Bajo 3:1</w:t>
            </w:r>
          </w:p>
          <w:p w14:paraId="06076795" w14:textId="3E5088A1" w:rsidR="00C858EE" w:rsidRDefault="00C858EE" w:rsidP="00C858E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 embargo, cuenta con un contorno café que ayuda a elevar el contraste 6.65.1</w:t>
            </w:r>
          </w:p>
        </w:tc>
      </w:tr>
    </w:tbl>
    <w:p w14:paraId="59C3E06F" w14:textId="77777777" w:rsidR="002B137A" w:rsidRPr="002B137A" w:rsidRDefault="002B137A" w:rsidP="00C858E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2B137A" w:rsidRPr="002B137A" w:rsidSect="00E91E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0C247E"/>
    <w:multiLevelType w:val="hybridMultilevel"/>
    <w:tmpl w:val="21EA5B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E8C"/>
    <w:rsid w:val="000A6CF9"/>
    <w:rsid w:val="002B137A"/>
    <w:rsid w:val="00486517"/>
    <w:rsid w:val="00533EBF"/>
    <w:rsid w:val="0064556E"/>
    <w:rsid w:val="00C858EE"/>
    <w:rsid w:val="00E91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60B9D"/>
  <w15:chartTrackingRefBased/>
  <w15:docId w15:val="{141715F7-2BB4-405E-AE5C-C8B46ACFA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91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1E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94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576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VALENTINA BARRIOS MACIAS</dc:creator>
  <cp:keywords/>
  <dc:description/>
  <cp:lastModifiedBy>VALENTINA BARRIOS MACIAS</cp:lastModifiedBy>
  <cp:revision>1</cp:revision>
  <dcterms:created xsi:type="dcterms:W3CDTF">2026-10-21T20:30:00Z</dcterms:created>
  <dcterms:modified xsi:type="dcterms:W3CDTF">2026-10-21T21:24:00Z</dcterms:modified>
</cp:coreProperties>
</file>