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6F" w:rsidRPr="008E6779" w:rsidRDefault="00B04E6F" w:rsidP="00B04E6F">
      <w:pPr>
        <w:rPr>
          <w:rFonts w:ascii="Times New Roman" w:hAnsi="Times New Roman" w:cs="Times New Roman"/>
          <w:b/>
          <w:sz w:val="28"/>
          <w:szCs w:val="28"/>
        </w:rPr>
      </w:pPr>
      <w:r w:rsidRPr="008E6779">
        <w:rPr>
          <w:rFonts w:ascii="Times New Roman" w:hAnsi="Times New Roman" w:cs="Times New Roman"/>
          <w:b/>
          <w:sz w:val="28"/>
          <w:szCs w:val="28"/>
        </w:rPr>
        <w:t xml:space="preserve">Задача. Способы монетизации в </w:t>
      </w:r>
      <w:proofErr w:type="spellStart"/>
      <w:r w:rsidRPr="008E6779">
        <w:rPr>
          <w:rFonts w:ascii="Times New Roman" w:hAnsi="Times New Roman" w:cs="Times New Roman"/>
          <w:b/>
          <w:sz w:val="28"/>
          <w:szCs w:val="28"/>
        </w:rPr>
        <w:t>блокчейне</w:t>
      </w:r>
      <w:proofErr w:type="spellEnd"/>
    </w:p>
    <w:p w:rsidR="00B04E6F" w:rsidRPr="008E6779" w:rsidRDefault="00B04E6F" w:rsidP="00B04E6F">
      <w:pPr>
        <w:rPr>
          <w:rFonts w:ascii="Times New Roman" w:hAnsi="Times New Roman" w:cs="Times New Roman"/>
          <w:b/>
          <w:sz w:val="28"/>
          <w:szCs w:val="28"/>
        </w:rPr>
      </w:pPr>
      <w:r w:rsidRPr="008E6779">
        <w:rPr>
          <w:rFonts w:ascii="Times New Roman" w:hAnsi="Times New Roman" w:cs="Times New Roman"/>
          <w:b/>
          <w:sz w:val="28"/>
          <w:szCs w:val="28"/>
        </w:rPr>
        <w:t xml:space="preserve">Моя формулировка: Как можно заработать </w:t>
      </w:r>
      <w:proofErr w:type="gramStart"/>
      <w:r w:rsidRPr="008E6779">
        <w:rPr>
          <w:rFonts w:ascii="Times New Roman" w:hAnsi="Times New Roman" w:cs="Times New Roman"/>
          <w:b/>
          <w:sz w:val="28"/>
          <w:szCs w:val="28"/>
        </w:rPr>
        <w:t xml:space="preserve">на  </w:t>
      </w:r>
      <w:proofErr w:type="spellStart"/>
      <w:r w:rsidRPr="008E6779">
        <w:rPr>
          <w:rFonts w:ascii="Times New Roman" w:hAnsi="Times New Roman" w:cs="Times New Roman"/>
          <w:b/>
          <w:sz w:val="28"/>
          <w:szCs w:val="28"/>
        </w:rPr>
        <w:t>Блокчейне</w:t>
      </w:r>
      <w:proofErr w:type="spellEnd"/>
      <w:proofErr w:type="gramEnd"/>
      <w:r w:rsidRPr="008E6779">
        <w:rPr>
          <w:rFonts w:ascii="Times New Roman" w:hAnsi="Times New Roman" w:cs="Times New Roman"/>
          <w:b/>
          <w:sz w:val="28"/>
          <w:szCs w:val="28"/>
        </w:rPr>
        <w:t xml:space="preserve">, перспективы и возможности. Как превратить </w:t>
      </w:r>
      <w:proofErr w:type="spellStart"/>
      <w:r w:rsidRPr="008E6779">
        <w:rPr>
          <w:rFonts w:ascii="Times New Roman" w:hAnsi="Times New Roman" w:cs="Times New Roman"/>
          <w:b/>
          <w:sz w:val="28"/>
          <w:szCs w:val="28"/>
        </w:rPr>
        <w:t>Блокчейн</w:t>
      </w:r>
      <w:proofErr w:type="spellEnd"/>
      <w:r w:rsidRPr="008E6779">
        <w:rPr>
          <w:rFonts w:ascii="Times New Roman" w:hAnsi="Times New Roman" w:cs="Times New Roman"/>
          <w:b/>
          <w:sz w:val="28"/>
          <w:szCs w:val="28"/>
        </w:rPr>
        <w:t xml:space="preserve"> в источник дохода. </w:t>
      </w:r>
    </w:p>
    <w:p w:rsidR="00B04E6F" w:rsidRPr="00714F67" w:rsidRDefault="00B04E6F" w:rsidP="00B04E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14F6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Инвестиции в </w:t>
      </w:r>
      <w:proofErr w:type="spellStart"/>
      <w:r w:rsidRPr="00714F6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блокчейн</w:t>
      </w:r>
      <w:proofErr w:type="spellEnd"/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AF6E6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AF6E6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лишает центральные учреждения (например, банки, политиков, клиринговые палаты, правительства, крупные корпорации) функции доверенной третьей стороны и позволяет отойти от старых контрольных точек. </w:t>
      </w: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gramStart"/>
      <w:r w:rsidRPr="00AF6E6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Например</w:t>
      </w:r>
      <w:proofErr w:type="gramEnd"/>
      <w:r w:rsidRPr="00AF6E6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: что, если проверка контрагента может быть выполнена в рамках </w:t>
      </w:r>
      <w:proofErr w:type="spellStart"/>
      <w:r w:rsidRPr="00AF6E6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блокчейна</w:t>
      </w:r>
      <w:proofErr w:type="spellEnd"/>
      <w:r w:rsidRPr="00AF6E6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а не в клиринговой палате?</w:t>
      </w: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10CD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Технически </w:t>
      </w:r>
      <w:proofErr w:type="spellStart"/>
      <w:r w:rsidRPr="00DA10CD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блокчейн</w:t>
      </w:r>
      <w:proofErr w:type="spellEnd"/>
      <w:r w:rsidRPr="006969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это база данных, которая представляет собой распределенный реестр с возможностью открытой проверки.</w:t>
      </w: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DA10CD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С точки зрения бизнеса </w:t>
      </w:r>
      <w:proofErr w:type="spellStart"/>
      <w:r w:rsidRPr="00DA10CD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блокчейн</w:t>
      </w:r>
      <w:proofErr w:type="spellEnd"/>
      <w:r w:rsidRPr="006969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это обменная сеть для перемещения транзакций, стоимости, активов между равными партнерами, без помощи посредников. </w:t>
      </w: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8E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С юридической точки зрения,</w:t>
      </w:r>
      <w:r w:rsidRPr="006969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6969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6969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проверяет транзакции, заменяя (а точнее, делая ненужными) прежние контролирующие органы. </w:t>
      </w: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8E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Технически:</w:t>
      </w:r>
      <w:r w:rsidRPr="006969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открыто проверяемая база данных, представляющая собой распределенный реестр. </w:t>
      </w: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8E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Для бизнеса:</w:t>
      </w:r>
      <w:r w:rsidRPr="006969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обменная сеть для перемещения ценностей между равными партнерами. </w:t>
      </w:r>
    </w:p>
    <w:p w:rsidR="00B04E6F" w:rsidRPr="0069698B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8E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Юридически: </w:t>
      </w:r>
      <w:r w:rsidRPr="006969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механизм подтверждения транзакций, не требующий участия посредников. </w:t>
      </w:r>
    </w:p>
    <w:p w:rsidR="00B04E6F" w:rsidRPr="008E6779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8E677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</w:t>
      </w:r>
    </w:p>
    <w:p w:rsidR="00B04E6F" w:rsidRPr="008E6779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r w:rsidRPr="008E6779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Возможности </w:t>
      </w:r>
      <w:proofErr w:type="spellStart"/>
      <w:r w:rsidRPr="008E6779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>блокчейна</w:t>
      </w:r>
      <w:proofErr w:type="spellEnd"/>
      <w:r w:rsidRPr="008E6779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 = технические + деловые + юридические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1. Основные понятия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blockchain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distributed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ledger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 – распределенная (=децентрализованная) база данных, в которой ведется журнал некоторых транзакций (сделок, событий), который трудно подделать.</w:t>
      </w:r>
    </w:p>
    <w:p w:rsidR="00B04E6F" w:rsidRDefault="00B04E6F" w:rsidP="00B04E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Узлы сети – компьютеры, хранящие полный журнал транзакций и поддерживающие добавление новых транзакций по фиксированным открытым алгоритмам.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Запись новых транзакций в журнал требует одобрения большинства узлов и определенной вычислительной мощности – это обеспечивает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криптостойкость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(защиту от взлома и случайных ошибок). Но это же означает, что чем выше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криптостойкость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тем дороже и медленнее транзакции.</w:t>
      </w:r>
    </w:p>
    <w:p w:rsidR="00B04E6F" w:rsidRDefault="00B04E6F" w:rsidP="00B04E6F">
      <w:pPr>
        <w:pStyle w:val="a3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 xml:space="preserve">На основе технологии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можно строить различные прикладные решения. Например,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биткойн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: сеть анонимных виртуальных кошельков с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криптовалютой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Биткойн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≠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!</w:t>
      </w:r>
    </w:p>
    <w:p w:rsidR="00B04E6F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Преимущества технологии</w:t>
      </w:r>
    </w:p>
    <w:p w:rsidR="00B04E6F" w:rsidRDefault="00B04E6F" w:rsidP="00B04E6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 широком смысле, технология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решает проблему доверия между сторонами. </w:t>
      </w: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результате становится возможным организовать взаимодействие между индивидуальными «поставщиками» и «потребителями» без посредников.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Становится </w:t>
      </w:r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проще </w:t>
      </w:r>
      <w:proofErr w:type="spellStart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монетизировать</w:t>
      </w:r>
      <w:proofErr w:type="spellEnd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 «мелкие» взаимодействия</w:t>
      </w: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peer-to-peer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кредитование, консультации в сети, просмотр рекламного ролика). В перспективе можно рассчитывать на появление множества рынков, которых вообще не существует сейчас. Под каждый такой рынок будет создаваться своя небольшая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-сеть.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Анонимность:</w:t>
      </w: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-сеть можно строить с анонимными участниками. Однако значимое коммерческое использование публичных анонимных сетей будет, скорее всего, ограничено регуляторами.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Аналогия с Интернетом</w:t>
      </w:r>
    </w:p>
    <w:p w:rsidR="00B04E6F" w:rsidRPr="008E6779" w:rsidRDefault="00B04E6F" w:rsidP="00B04E6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67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Коммерческое применение </w:t>
      </w:r>
      <w:proofErr w:type="spellStart"/>
      <w:r w:rsidRPr="008E67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блокчейн</w:t>
      </w:r>
      <w:proofErr w:type="spellEnd"/>
    </w:p>
    <w:p w:rsidR="00B04E6F" w:rsidRDefault="00D1369B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="00B04E6F"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«Умные» контракты</w:t>
      </w:r>
      <w:r w:rsidR="00B04E6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(смарт-контракты)</w:t>
      </w:r>
      <w:r w:rsidR="00B04E6F"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В таких контрактах освобождение средств происходит автоматически только при одновременном согласии каждой стороны с тем, что контракт исполнен. Примером умных контрактов является </w:t>
      </w:r>
      <w:proofErr w:type="spellStart"/>
      <w:r w:rsidR="00B04E6F"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Etherium</w:t>
      </w:r>
      <w:proofErr w:type="spellEnd"/>
      <w:r w:rsidR="00B04E6F"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(эфир) – основной </w:t>
      </w:r>
      <w:proofErr w:type="spellStart"/>
      <w:r w:rsidR="00B04E6F"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="00B04E6F"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 этим функционалом. Также именно на протоколе эфира строятся большинство вновь выпускаемых </w:t>
      </w:r>
      <w:proofErr w:type="spellStart"/>
      <w:r w:rsidR="00B04E6F"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</w:t>
      </w:r>
      <w:proofErr w:type="spellEnd"/>
      <w:r w:rsidR="00B04E6F"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Криптовалюта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как средство платежа обычными коммерческими продавцами (сейчас объемы таких транзакций ничтожны)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Надстройки над существующими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криптовалютами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интересные только игрокам в криптовалюты,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например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проект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Lightning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Network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: удешевление и ускорение транзакций (критичные проблемы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DF2BA2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Всевозможные биржи, и </w:t>
      </w:r>
      <w:proofErr w:type="spellStart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агрегаторы</w:t>
      </w:r>
      <w:proofErr w:type="spellEnd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 кошельков и </w:t>
      </w:r>
      <w:proofErr w:type="spellStart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криптовалют</w:t>
      </w:r>
      <w:proofErr w:type="spellEnd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 (</w:t>
      </w:r>
      <w:proofErr w:type="spellStart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eToro</w:t>
      </w:r>
      <w:proofErr w:type="spellEnd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, </w:t>
      </w:r>
      <w:proofErr w:type="spellStart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Coinplace</w:t>
      </w:r>
      <w:proofErr w:type="spellEnd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).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Агрегаторы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ICO (первичного финансирования коммерческих проектов на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блокчейне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Arbidex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смесь биржи и арбитражной стратегии между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криптовалютными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биржами.</w:t>
      </w:r>
    </w:p>
    <w:p w:rsidR="00B04E6F" w:rsidRDefault="00B04E6F" w:rsidP="00B04E6F">
      <w:pPr>
        <w:pStyle w:val="a3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</w:t>
      </w: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С3 – смесь крипто-кошелька и кредитной карты.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Кадастры, реестры (сейчас ведутся госструктурами),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например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VINChain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-решение для сервисной истории автомобиля. Потенциально снижает издержки для отрасли при страховании и перепродаже.</w:t>
      </w:r>
    </w:p>
    <w:p w:rsidR="00DD2EAB" w:rsidRDefault="00DD2EAB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DD2EAB" w:rsidRDefault="00DD2EAB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DD2EAB" w:rsidRPr="00714F67" w:rsidRDefault="00DD2EAB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Системы мелких (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peer-to-peer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) займов и других финансовых операций (страхование, платежные системы),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краудфандинг</w:t>
      </w:r>
      <w:proofErr w:type="spellEnd"/>
    </w:p>
    <w:p w:rsidR="00B04E6F" w:rsidRDefault="00B04E6F" w:rsidP="00B04E6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Краудфа́ндинг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— способ коллективного финансирования, основанный на добровольных взносах.</w:t>
      </w:r>
    </w:p>
    <w:p w:rsidR="00B04E6F" w:rsidRDefault="00B04E6F" w:rsidP="00B04E6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Монетизация </w:t>
      </w:r>
      <w:proofErr w:type="spellStart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видеоблоггинга</w:t>
      </w:r>
      <w:proofErr w:type="spellEnd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.</w:t>
      </w: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Например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Adhive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-решение для рекламы в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видеоблоггинге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Сейчас монетизация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видеоблоггинга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возможна только самыми известными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блоггерами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получающими вознаграждение от производителя.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Монетизация </w:t>
      </w:r>
      <w:proofErr w:type="spellStart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гейминга</w:t>
      </w:r>
      <w:proofErr w:type="spellEnd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 / </w:t>
      </w:r>
      <w:proofErr w:type="spellStart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киберспорта</w:t>
      </w:r>
      <w:proofErr w:type="spellEnd"/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</w:t>
      </w: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Play2live –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-аналог сервиса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Twitch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стриминг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игрового видео). Сейчас монетизация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стриминга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возможна только самыми известными стримерами, получающими вознаграждение от издателя игры.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может создать инфраструктуру выдачи заданий стримеру, ставок на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киберспортивные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или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внутриигровые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события, и т.д.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Abyss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-аналог игрового сервиса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Steam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Он позволит конвертировать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внутриигровые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ресурсы из одной игры в другую.</w:t>
      </w:r>
    </w:p>
    <w:p w:rsidR="00B04E6F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IQeon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–интеллектуальные игры «на деньги» (играть на реальные деньги запрещено законодательно во многих юрисдикциях)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Монетизация личных данных и предпочтений</w:t>
      </w: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например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TravelChain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рынок верифицируемых пользовательских отзывов а ля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TripAdvisor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Пользователь делится личными данными и отзывами и получает плату от покупателей данных (бизнесов).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Mytime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бизнесы платят пользователям за время пользования продуктом. Компенсация в виде личных данных и предпочтений.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Экономика знания: Образовательные и консультационные услуги,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например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MomLife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монетизация консультаций по сети на специализированном форуме для молодых мам.</w:t>
      </w:r>
    </w:p>
    <w:p w:rsidR="00B04E6F" w:rsidRDefault="00B04E6F" w:rsidP="00B04E6F">
      <w:pPr>
        <w:pStyle w:val="a3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Поддержка авторских прав в сети,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например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GlobexSCI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экосистема для хранения научных статей их данных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Шеринговые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системы (совместное пользование активами, такими как автомобили)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Предсказательные системы, голосования, электронные подписи, верификация авторства на электронных носителях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Коллективные инвестиции (фонды) с возможностью торговли паями внутри сети</w:t>
      </w:r>
    </w:p>
    <w:p w:rsidR="00B04E6F" w:rsidRDefault="00B04E6F" w:rsidP="00B04E6F">
      <w:pPr>
        <w:pStyle w:val="a3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086801" w:rsidRDefault="00086801" w:rsidP="00086801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1369B" w:rsidRDefault="00D1369B" w:rsidP="00086801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1369B" w:rsidRDefault="00D1369B" w:rsidP="00086801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1369B" w:rsidRDefault="00D1369B" w:rsidP="00086801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1369B" w:rsidRDefault="00D1369B" w:rsidP="00086801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1369B" w:rsidRDefault="00D1369B" w:rsidP="00086801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086801" w:rsidRPr="00086801" w:rsidRDefault="00086801" w:rsidP="00086801">
      <w:p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086801" w:rsidRPr="00086801" w:rsidRDefault="00086801" w:rsidP="00086801">
      <w:p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DD2EAB" w:rsidP="00086801">
      <w:p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</w:pPr>
      <w:r w:rsidRPr="00DD2EA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 </w:t>
      </w:r>
      <w:r w:rsidR="00B04E6F" w:rsidRPr="00714F6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3. Криптовалюты</w:t>
      </w:r>
    </w:p>
    <w:p w:rsidR="00086801" w:rsidRPr="00714F67" w:rsidRDefault="00086801" w:rsidP="00086801">
      <w:p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Криптовалюта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– плата узлам сети (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майнерам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) за поддержку сети - подтверждение и проведение транзакций.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Криптовалюта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публичной сети обязательна, чтобы ограничить количество транзакций и защитить сеть от перегрузки.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 мире порядка 20 публичных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-сетей со значимыми объемами выпущенной криптовалюты (всего около $400 млрд суммарной капитализации на декабрь 2017 г.). Из них 2 занимают более 90% рынка –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Bitcoin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биткойн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) и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Etherium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(эфир).</w:t>
      </w:r>
    </w:p>
    <w:p w:rsidR="00B04E6F" w:rsidRDefault="00B04E6F" w:rsidP="00B04E6F">
      <w:pPr>
        <w:pStyle w:val="a3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Предложение криптовалюты: Алгоритмы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-сетей устроены так, что на длинном горизонте предложение стабильно или растет очень медленно. На средних горизонтах скорость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майнинга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(появления новых единиц валюты) ограничена выделенными на это вычислительными мощностями и расходами на вычисления (электроэнергия).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8E6779" w:rsidRDefault="00B04E6F" w:rsidP="00B04E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Спрос на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криптовалюту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: В настоящее время спрос на большинство известных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спекулятивен – покупка в расчете на рост цены. Например, в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биткойне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объем реальных коммерческих транзакций – менее 0,5% от всего оборота.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Цена криптовалюты: На данном этапе развития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-сетей спрос крайне слабо предсказуем и зависит не от практической применимости, а от популярности криптовалюты. При этом предложение не успевает реагировать на колебания спроса, что порождает огромные колебания цены криптовалюты в долларах. Очень вероятно появление спекулятивных «пузырей». При этом долгосрочная цена криптовалюты ограничена тем фактом, что в случае неудовлетворенного реального спроса на транзакции конкретной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-сети можно создать новую сеть под те же задачи.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 xml:space="preserve">Перспективы </w:t>
      </w:r>
      <w:proofErr w:type="spellStart"/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криптовалют</w:t>
      </w:r>
      <w:proofErr w:type="spellEnd"/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 xml:space="preserve"> (</w:t>
      </w:r>
      <w:proofErr w:type="spellStart"/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crypto</w:t>
      </w:r>
      <w:proofErr w:type="spellEnd"/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) по сравнению с обычными (</w:t>
      </w:r>
      <w:proofErr w:type="spellStart"/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fiat</w:t>
      </w:r>
      <w:proofErr w:type="spellEnd"/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) валютами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Технология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может лечь в основу будущей денежно-финансовой системы, но это точно не будут известные криптовалюты (такие как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биткойн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 в текущей форме:</w:t>
      </w:r>
    </w:p>
    <w:p w:rsidR="00B04E6F" w:rsidRDefault="00B04E6F" w:rsidP="00B04E6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Сегодняшние криптовалюты – крайне узкие рынки (менее 0,1% по объему) по сравнению даже с рынками денежных переводов, не говоря о валютных рынках (менее 0.001%). Как следствие, обменные курсы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крайне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волатильны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подвержены манипуляциям. Стабильность – очень важное требование к деньгам как мере стоимости и средству накопления. Примером могут служить эпизоды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гиперинфляций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когда население отказывалось от национальной валюты в пользу доллара и т.д.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8E6779" w:rsidRDefault="00B04E6F" w:rsidP="00B04E6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Децентрализация для денег может быть минусом, а не преимуществом. Центральные банки (а) ограничивают риск банковской системы, (б) сглаживают колебания курсов и (в) выступают заемщиком последней инстанции для банков. В случае криптовалюты некому выступить в этой роли.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Государства усиливают контроль в сфере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антиотмывочного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законодательства (AML и KYC). Во многих странах запрещены крупные сделки с наличными деньгами, в некоторых странах заявлен курс на полный отказ от наличности. Регуляторы не позволят анонимным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криптовалютам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нарушить этот тренд на большую прозрачность.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Вероятно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создание подконтрольных государству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но такой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не будут ни анонимным, ни даже полноценно децентрализованным.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Для подавляющего большинства финансовых транзакций не требуется или вредна анонимность и необратимость. Однако издержки (стоимость и время) по включению транзакции в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все равно возникают, и они значительны.</w:t>
      </w:r>
    </w:p>
    <w:p w:rsidR="00B04E6F" w:rsidRDefault="00B04E6F" w:rsidP="00B04E6F">
      <w:pPr>
        <w:pStyle w:val="a3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Мотивация узлов сети (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майнеров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) может поменяться. Пул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майнеров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может в какой-то момент объединить 51% мощностей и захватить контроль над децентрализованным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блокчейном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Майнеры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могут начать использовать свое специализированное оборудование для взлома, а не для поддержки сети, если это будет финансово выгодно.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Регулирование по странам</w:t>
      </w:r>
    </w:p>
    <w:p w:rsidR="00B04E6F" w:rsidRPr="00714F67" w:rsidRDefault="00B04E6F" w:rsidP="00B04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4. Способы инвестирования в </w:t>
      </w:r>
      <w:proofErr w:type="spellStart"/>
      <w:r w:rsidRPr="00714F6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-технологии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-</w:t>
      </w:r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ICO</w:t>
      </w:r>
      <w:r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краудсейл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»)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ICO (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initial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coin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offering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) - первичное привлечение финансирования для коммерческих проектов с использованием технологии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Оценка и анализ отдельных проектов сравнимы c венчурными инвестициями в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стартапы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Дополнительная сложность - очень ранние стадии проектов, то есть работоспособность концепций не доказана. Финансовые модели – исключительно ненадежны.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Плюсы: Потенциал многократного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роста  компании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если она окажется “следующей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Google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”. На определенном этапе развития компании будет возможен анализ бизнес-модели компании.</w:t>
      </w:r>
    </w:p>
    <w:p w:rsidR="00B04E6F" w:rsidRPr="0091028E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Минусы: При стандартных венчурных инвестициях 9 из 10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стартапов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прогорают. В случае ICO 9 из 10 проектов создаются с целью поднять денег, а не сделать что-то хорошее. Из оставшихся проектов 7-8 из 10 прогорят.</w:t>
      </w:r>
    </w:p>
    <w:p w:rsidR="00B04E6F" w:rsidRPr="00DF2BA2" w:rsidRDefault="00B04E6F" w:rsidP="00B04E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Основные отличия ICO от IPO:</w:t>
      </w:r>
    </w:p>
    <w:p w:rsidR="00B04E6F" w:rsidRPr="00DF2BA2" w:rsidRDefault="00B04E6F" w:rsidP="00B04E6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ICO отсутствует на сегодняшний день государственное регулирование, характерное для IPO и любых других публичных финансовых и инвестиционных видов деятельности;</w:t>
      </w:r>
    </w:p>
    <w:p w:rsidR="00B04E6F" w:rsidRDefault="00B04E6F" w:rsidP="00B04E6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покупатели </w:t>
      </w:r>
      <w:proofErr w:type="spellStart"/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токенов</w:t>
      </w:r>
      <w:proofErr w:type="spellEnd"/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криптовалют</w:t>
      </w:r>
      <w:proofErr w:type="spellEnd"/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иметь права, отличные от тех, которые есть у покупателей/владельцев акций. В частности, </w:t>
      </w:r>
      <w:proofErr w:type="spellStart"/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токены</w:t>
      </w:r>
      <w:proofErr w:type="spellEnd"/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быть как дивидендными и давать право на участие в будущей прибыли компании, так и исключительно утилитарными, т.е. дающими право обменять </w:t>
      </w:r>
      <w:proofErr w:type="spellStart"/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токены</w:t>
      </w:r>
      <w:proofErr w:type="spellEnd"/>
      <w:r w:rsidRPr="00DF2B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услуги или товары компании.</w:t>
      </w:r>
    </w:p>
    <w:p w:rsidR="00B04E6F" w:rsidRPr="00DF2BA2" w:rsidRDefault="00B04E6F" w:rsidP="00B04E6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Первым ICO в истории стало размещение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токенов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проекта </w:t>
      </w:r>
      <w:proofErr w:type="spellStart"/>
      <w:r>
        <w:fldChar w:fldCharType="begin"/>
      </w:r>
      <w:r>
        <w:instrText xml:space="preserve"> HYPERLINK "https://ru.wikipedia.org/wiki/Mastercoin" \o "Mastercoin"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Mastercoin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2013 году, собравшее 5 млн долларов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-</w:t>
      </w:r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Акции публичных компаний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Вложения возможны через </w:t>
      </w:r>
      <w:proofErr w:type="gram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покупку  акций</w:t>
      </w:r>
      <w:proofErr w:type="gram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публичных компаний, активно занимающихся внедрением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blockchain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технологии: GBTC, BTSC, BTL, COIN, DCC, BITCF (инкубатор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блокчейн-стартапов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), GAHC, HSHS, OSTK.</w:t>
      </w: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 xml:space="preserve">На рынке таких компаний сейчас явная мания: мелкие публичные компании переименовываются и объявляют об инвестициях в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и сразу дорожают в несколько раз.</w:t>
      </w:r>
    </w:p>
    <w:p w:rsidR="00B04E6F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Торгуемые криптовалюты</w:t>
      </w:r>
    </w:p>
    <w:p w:rsidR="00B04E6F" w:rsidRPr="00714F67" w:rsidRDefault="00B04E6F" w:rsidP="00B04E6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Это спекулятивные ставки (сродни гэмблингу), так как нет способа оценить справедливую стоимость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Хотя криптовалюты не являются ставкой на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блокчейн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как технологию, курсы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криптовалют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могут расти просто на общем росте интереса к теме.</w:t>
      </w:r>
    </w:p>
    <w:p w:rsidR="00B04E6F" w:rsidRDefault="00B04E6F" w:rsidP="00B04E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Покупка криптовалюты напрямую через специализированную биржу с помощью создания виртуального кошелька и привязки к нему дебетовой карты.</w:t>
      </w:r>
    </w:p>
    <w:p w:rsidR="00B04E6F" w:rsidRPr="00714F67" w:rsidRDefault="00B04E6F" w:rsidP="00B04E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Фьючерсы (запущены в декабре, пока возможно только длинные позиции).</w:t>
      </w:r>
    </w:p>
    <w:p w:rsidR="00B04E6F" w:rsidRPr="0091028E" w:rsidRDefault="00B04E6F" w:rsidP="00B04E6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1028E">
        <w:rPr>
          <w:rFonts w:ascii="Times New Roman" w:hAnsi="Times New Roman" w:cs="Times New Roman"/>
          <w:color w:val="222222"/>
          <w:sz w:val="20"/>
          <w:szCs w:val="20"/>
        </w:rPr>
        <w:t xml:space="preserve">Как работает фьючерс на </w:t>
      </w:r>
      <w:proofErr w:type="spellStart"/>
      <w:r w:rsidRPr="0091028E">
        <w:rPr>
          <w:rFonts w:ascii="Times New Roman" w:hAnsi="Times New Roman" w:cs="Times New Roman"/>
          <w:color w:val="222222"/>
          <w:sz w:val="20"/>
          <w:szCs w:val="20"/>
        </w:rPr>
        <w:t>биткоин</w:t>
      </w:r>
      <w:proofErr w:type="spellEnd"/>
    </w:p>
    <w:p w:rsidR="00B04E6F" w:rsidRPr="0091028E" w:rsidRDefault="00B04E6F" w:rsidP="00B04E6F">
      <w:pPr>
        <w:pStyle w:val="a4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222222"/>
          <w:sz w:val="20"/>
          <w:szCs w:val="20"/>
        </w:rPr>
      </w:pPr>
      <w:r w:rsidRPr="0091028E">
        <w:rPr>
          <w:color w:val="222222"/>
          <w:sz w:val="20"/>
          <w:szCs w:val="20"/>
        </w:rPr>
        <w:t xml:space="preserve">Фьючерсный контракт на </w:t>
      </w:r>
      <w:proofErr w:type="spellStart"/>
      <w:r w:rsidRPr="0091028E">
        <w:rPr>
          <w:color w:val="222222"/>
          <w:sz w:val="20"/>
          <w:szCs w:val="20"/>
        </w:rPr>
        <w:t>биткоин</w:t>
      </w:r>
      <w:proofErr w:type="spellEnd"/>
      <w:r w:rsidRPr="0091028E">
        <w:rPr>
          <w:color w:val="222222"/>
          <w:sz w:val="20"/>
          <w:szCs w:val="20"/>
        </w:rPr>
        <w:t xml:space="preserve"> — это обязательство продать или купить определенное количество </w:t>
      </w:r>
      <w:proofErr w:type="spellStart"/>
      <w:r w:rsidRPr="0091028E">
        <w:rPr>
          <w:color w:val="222222"/>
          <w:sz w:val="20"/>
          <w:szCs w:val="20"/>
        </w:rPr>
        <w:t>биткоинов</w:t>
      </w:r>
      <w:proofErr w:type="spellEnd"/>
      <w:r w:rsidRPr="0091028E">
        <w:rPr>
          <w:color w:val="222222"/>
          <w:sz w:val="20"/>
          <w:szCs w:val="20"/>
        </w:rPr>
        <w:t xml:space="preserve"> по определенной цене до истечения срока действия контракта.</w:t>
      </w:r>
    </w:p>
    <w:p w:rsidR="00B04E6F" w:rsidRPr="0091028E" w:rsidRDefault="00B04E6F" w:rsidP="00B04E6F">
      <w:pPr>
        <w:pStyle w:val="a4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222222"/>
          <w:sz w:val="20"/>
          <w:szCs w:val="20"/>
        </w:rPr>
      </w:pPr>
      <w:r w:rsidRPr="0091028E">
        <w:rPr>
          <w:color w:val="222222"/>
          <w:sz w:val="20"/>
          <w:szCs w:val="20"/>
        </w:rPr>
        <w:t>Гарантийное обеспечение, которое принято считать ценой фьючерса, может составлять всего 10-15% от суммы сделки. В таком случае возникает эффект "кредитного плеча", и у участников рынка появляется возможность при небольших вложениях получить относительно большой доход. </w:t>
      </w:r>
    </w:p>
    <w:p w:rsidR="00B04E6F" w:rsidRPr="0091028E" w:rsidRDefault="00B04E6F" w:rsidP="00B04E6F">
      <w:pPr>
        <w:pStyle w:val="a4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222222"/>
          <w:sz w:val="20"/>
          <w:szCs w:val="20"/>
        </w:rPr>
      </w:pPr>
      <w:r w:rsidRPr="0091028E">
        <w:rPr>
          <w:color w:val="222222"/>
          <w:sz w:val="20"/>
          <w:szCs w:val="20"/>
        </w:rPr>
        <w:t xml:space="preserve">Производные финансовые инструменты относятся к инвестициям с высокими рисками, так как неверно спрогнозировав цену базисного актива, участник рынка </w:t>
      </w:r>
      <w:proofErr w:type="spellStart"/>
      <w:r w:rsidRPr="0091028E">
        <w:rPr>
          <w:color w:val="222222"/>
          <w:sz w:val="20"/>
          <w:szCs w:val="20"/>
        </w:rPr>
        <w:t>ротеряет</w:t>
      </w:r>
      <w:proofErr w:type="spellEnd"/>
      <w:r w:rsidRPr="0091028E">
        <w:rPr>
          <w:color w:val="222222"/>
          <w:sz w:val="20"/>
          <w:szCs w:val="20"/>
        </w:rPr>
        <w:t xml:space="preserve"> значительно больше, чем он изначально вложил в покупку фьючерсов. Исполнение обязательств по фьючерсным контрактам гарантирует биржа на основании законодательства, в рамках которого она работает.</w:t>
      </w:r>
    </w:p>
    <w:p w:rsidR="00B04E6F" w:rsidRPr="00714F67" w:rsidRDefault="00B04E6F" w:rsidP="00B04E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Pr="00714F67" w:rsidRDefault="00B04E6F" w:rsidP="00B04E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Фонды и ETF:</w:t>
      </w:r>
    </w:p>
    <w:p w:rsidR="00B04E6F" w:rsidRPr="00714F67" w:rsidRDefault="00B04E6F" w:rsidP="00B04E6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Bitcoin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Investment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Trust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(US09173T1088)</w:t>
      </w:r>
    </w:p>
    <w:p w:rsidR="00B04E6F" w:rsidRPr="00714F67" w:rsidRDefault="00B04E6F" w:rsidP="00B04E6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Etherium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Classic Investment trust (US2976441061)</w:t>
      </w:r>
    </w:p>
    <w:p w:rsidR="00B04E6F" w:rsidRPr="00714F67" w:rsidRDefault="00B04E6F" w:rsidP="00B04E6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Основной минус – регулярное превышение стоимости фондов по сравнению с NAV на 100+%</w:t>
      </w:r>
    </w:p>
    <w:p w:rsidR="00B04E6F" w:rsidRDefault="00B04E6F" w:rsidP="00B04E6F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Ждут одобрения еще несколько ETF</w:t>
      </w:r>
    </w:p>
    <w:p w:rsidR="00B04E6F" w:rsidRDefault="00B04E6F" w:rsidP="00B04E6F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Торгуемый на бирже фонд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" w:tooltip="Английский язык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Exchange</w:t>
      </w:r>
      <w:r w:rsidRPr="0001161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Traded</w:t>
      </w:r>
      <w:r w:rsidRPr="0001161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Fund</w:t>
      </w:r>
      <w:r w:rsidRPr="0001161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ETF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Биржевой инвестиционный фонд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индексный фонд, паи (акции) которого обращаются на </w:t>
      </w:r>
      <w:hyperlink r:id="rId6" w:tooltip="Фондовая биржа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бирже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Структура ETF повторяет структуру выбранного </w:t>
      </w:r>
      <w:hyperlink r:id="rId7" w:tooltip="Фондовый индекс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базового индекса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04E6F" w:rsidRPr="00714F67" w:rsidRDefault="00B04E6F" w:rsidP="00B04E6F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Майнинг</w:t>
      </w:r>
      <w:proofErr w:type="spellEnd"/>
      <w:r w:rsidRPr="00714F6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- покупка специального оборудования (компьютеры общего назначения уже недостаточны) и его эксплуатация 24/7 для получения криптовалюты как плату за поддержку сети.</w:t>
      </w:r>
    </w:p>
    <w:p w:rsidR="009A4890" w:rsidRDefault="009A4890" w:rsidP="00B04E6F">
      <w:pPr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04E6F" w:rsidRDefault="00B04E6F" w:rsidP="00B04E6F">
      <w:pPr>
        <w:rPr>
          <w:b/>
        </w:rPr>
      </w:pPr>
      <w:r w:rsidRPr="00B04E6F">
        <w:rPr>
          <w:b/>
        </w:rPr>
        <w:t>Ссылки.</w:t>
      </w:r>
    </w:p>
    <w:p w:rsidR="00012C50" w:rsidRPr="00B04E6F" w:rsidRDefault="00012C50" w:rsidP="00B04E6F">
      <w:pPr>
        <w:rPr>
          <w:b/>
        </w:rPr>
      </w:pPr>
    </w:p>
    <w:bookmarkStart w:id="0" w:name="_GoBack"/>
    <w:bookmarkEnd w:id="0"/>
    <w:p w:rsidR="00B04E6F" w:rsidRDefault="002734B3" w:rsidP="00B04E6F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"https://golos.io/ico/@aimer1337/vinchain-eto-decentralizovannaya-baza-dannykh-avtomobilei" </w:instrText>
      </w:r>
      <w:r>
        <w:fldChar w:fldCharType="separate"/>
      </w:r>
      <w:r w:rsidR="00B04E6F" w:rsidRPr="00F43A96">
        <w:rPr>
          <w:rStyle w:val="a5"/>
        </w:rPr>
        <w:t>https://golos.io/ico/@aimer1337/vinchain-eto-decentralizovannaya-baza-dannykh-avtomobilei</w:t>
      </w:r>
      <w:r>
        <w:rPr>
          <w:rStyle w:val="a5"/>
        </w:rPr>
        <w:fldChar w:fldCharType="end"/>
      </w:r>
    </w:p>
    <w:p w:rsidR="00B04E6F" w:rsidRDefault="002734B3" w:rsidP="00B04E6F">
      <w:pPr>
        <w:pStyle w:val="a3"/>
        <w:numPr>
          <w:ilvl w:val="0"/>
          <w:numId w:val="1"/>
        </w:numPr>
      </w:pPr>
      <w:hyperlink r:id="rId8" w:history="1">
        <w:r w:rsidR="00B04E6F" w:rsidRPr="00F43A96">
          <w:rPr>
            <w:rStyle w:val="a5"/>
          </w:rPr>
          <w:t>https://bits.media/news/chto-takoe-fyuchersy-na-bitkoin-i-kak-oni-povliyayut-na-kurs/</w:t>
        </w:r>
      </w:hyperlink>
    </w:p>
    <w:p w:rsidR="00936B86" w:rsidRDefault="00012C50" w:rsidP="00012C50">
      <w:pPr>
        <w:pStyle w:val="a3"/>
        <w:numPr>
          <w:ilvl w:val="0"/>
          <w:numId w:val="1"/>
        </w:numPr>
      </w:pPr>
      <w:hyperlink r:id="rId9" w:history="1">
        <w:r w:rsidRPr="00B20698">
          <w:rPr>
            <w:rStyle w:val="a5"/>
          </w:rPr>
          <w:t>https://coinindex.agency</w:t>
        </w:r>
      </w:hyperlink>
    </w:p>
    <w:p w:rsidR="00012C50" w:rsidRDefault="00012C50" w:rsidP="00012C50">
      <w:pPr>
        <w:pStyle w:val="a3"/>
      </w:pPr>
    </w:p>
    <w:sectPr w:rsidR="0001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2A0E"/>
    <w:multiLevelType w:val="multilevel"/>
    <w:tmpl w:val="3A52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9263E"/>
    <w:multiLevelType w:val="multilevel"/>
    <w:tmpl w:val="BC7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A4445"/>
    <w:multiLevelType w:val="multilevel"/>
    <w:tmpl w:val="84E4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93461"/>
    <w:multiLevelType w:val="hybridMultilevel"/>
    <w:tmpl w:val="E252E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C42F9"/>
    <w:multiLevelType w:val="multilevel"/>
    <w:tmpl w:val="336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906FA"/>
    <w:multiLevelType w:val="multilevel"/>
    <w:tmpl w:val="962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A5D86"/>
    <w:multiLevelType w:val="multilevel"/>
    <w:tmpl w:val="547C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5232B6"/>
    <w:multiLevelType w:val="multilevel"/>
    <w:tmpl w:val="5D7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34D30"/>
    <w:multiLevelType w:val="multilevel"/>
    <w:tmpl w:val="DAE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6F"/>
    <w:rsid w:val="00012C50"/>
    <w:rsid w:val="00086801"/>
    <w:rsid w:val="003F0D1B"/>
    <w:rsid w:val="0072399B"/>
    <w:rsid w:val="00936B86"/>
    <w:rsid w:val="009A4890"/>
    <w:rsid w:val="00B04E6F"/>
    <w:rsid w:val="00BE0ED1"/>
    <w:rsid w:val="00D1369B"/>
    <w:rsid w:val="00D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867D"/>
  <w15:chartTrackingRefBased/>
  <w15:docId w15:val="{AD4750C1-4D17-4324-AFE7-EF25174A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04E6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B04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.media/news/chto-takoe-fyuchersy-na-bitkoin-i-kak-oni-povliyayut-na-ku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E%D0%BD%D0%B4%D0%BE%D0%B2%D1%8B%D0%B9_%D0%B8%D0%BD%D0%B4%D0%B5%D0%BA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E%D0%BD%D0%B4%D0%BE%D0%B2%D0%B0%D1%8F_%D0%B1%D0%B8%D1%80%D0%B6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inindex.agen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6</cp:revision>
  <dcterms:created xsi:type="dcterms:W3CDTF">2018-03-31T11:56:00Z</dcterms:created>
  <dcterms:modified xsi:type="dcterms:W3CDTF">2018-04-01T04:51:00Z</dcterms:modified>
</cp:coreProperties>
</file>