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ind w:firstLine="0"/>
        <w:jc w:val="center"/>
      </w:pPr>
      <w:r>
        <w:rPr>
          <w:rFonts w:ascii="Times New Roman" w:hAnsi="Times New Roman" w:eastAsia="Times New Roman"/>
          <w:b/>
          <w:sz w:val="36"/>
        </w:rPr>
        <w:t>PERIMETER DATA GATEWAY</w:t>
      </w:r>
    </w:p>
    <w:p>
      <w:pPr>
        <w:spacing w:before="160" w:after="80"/>
        <w:ind w:firstLine="0"/>
        <w:jc w:val="center"/>
      </w:pPr>
      <w:r>
        <w:rPr>
          <w:rFonts w:ascii="Times New Roman" w:hAnsi="Times New Roman" w:eastAsia="Times New Roman"/>
          <w:b/>
          <w:sz w:val="32"/>
        </w:rPr>
        <w:t>EXPLANATORY NOTE</w:t>
      </w:r>
    </w:p>
    <w:p>
      <w:pPr>
        <w:spacing w:before="80" w:after="80"/>
        <w:ind w:firstLine="0"/>
        <w:jc w:val="center"/>
      </w:pPr>
      <w:r>
        <w:rPr>
          <w:rFonts w:ascii="Times New Roman" w:hAnsi="Times New Roman" w:eastAsia="Times New Roman"/>
          <w:b/>
          <w:sz w:val="26"/>
        </w:rPr>
        <w:t>to the Preliminary Design</w:t>
      </w:r>
    </w:p>
    <w:tbl>
      <w:tblPr>
        <w:tblW w:type="auto" w:w="0"/>
        <w:jc w:val="center"/>
        <w:tblLayout w:type="fixed"/>
        <w:tblLook w:firstColumn="1" w:firstRow="1" w:lastColumn="0" w:lastRow="0" w:noHBand="0" w:noVBand="1" w:val="04A0"/>
      </w:tblPr>
      <w:tblGrid>
        <w:gridCol w:w="4819"/>
        <w:gridCol w:w="4819"/>
      </w:tblGrid>
      <w:tr>
        <w:tc>
          <w:tcPr>
            <w:tcW w:type="dxa" w:w="3288"/>
            <w:tcBorders>
              <w:top w:val="nil"/>
              <w:left w:val="nil"/>
              <w:bottom w:val="nil"/>
              <w:right w:val="nil"/>
              <w:insideH w:val="nil"/>
              <w:insideV w:val="nil"/>
            </w:tcBorders>
          </w:tcPr>
          <w:p>
            <w:pPr>
              <w:spacing w:after="20"/>
              <w:ind w:firstLine="0"/>
            </w:pPr>
            <w:r>
              <w:rPr>
                <w:rFonts w:ascii="Times New Roman" w:hAnsi="Times New Roman" w:eastAsia="Times New Roman"/>
                <w:b/>
                <w:sz w:val="23"/>
              </w:rPr>
              <w:t>Development name:</w:t>
            </w:r>
          </w:p>
        </w:tc>
        <w:tc>
          <w:tcPr>
            <w:tcW w:type="dxa" w:w="6066"/>
            <w:tcBorders>
              <w:top w:val="nil"/>
              <w:left w:val="nil"/>
              <w:bottom w:val="nil"/>
              <w:right w:val="nil"/>
              <w:insideH w:val="nil"/>
              <w:insideV w:val="nil"/>
            </w:tcBorders>
          </w:tcPr>
          <w:p>
            <w:pPr>
              <w:spacing w:after="20"/>
              <w:ind w:firstLine="0"/>
            </w:pPr>
            <w:r>
              <w:rPr>
                <w:rFonts w:ascii="Times New Roman" w:hAnsi="Times New Roman" w:eastAsia="Times New Roman"/>
                <w:sz w:val="23"/>
              </w:rPr>
              <w:t>Perimeter Data Gateway</w:t>
            </w:r>
          </w:p>
        </w:tc>
      </w:tr>
      <w:tr>
        <w:tc>
          <w:tcPr>
            <w:tcW w:type="dxa" w:w="3288"/>
            <w:tcBorders>
              <w:top w:val="nil"/>
              <w:left w:val="nil"/>
              <w:bottom w:val="nil"/>
              <w:right w:val="nil"/>
              <w:insideH w:val="nil"/>
              <w:insideV w:val="nil"/>
            </w:tcBorders>
          </w:tcPr>
          <w:p>
            <w:pPr>
              <w:spacing w:after="20"/>
              <w:ind w:firstLine="0"/>
            </w:pPr>
            <w:r>
              <w:rPr>
                <w:rFonts w:ascii="Times New Roman" w:hAnsi="Times New Roman" w:eastAsia="Times New Roman"/>
                <w:b/>
                <w:sz w:val="23"/>
              </w:rPr>
              <w:t>Abbreviation:</w:t>
            </w:r>
          </w:p>
        </w:tc>
        <w:tc>
          <w:tcPr>
            <w:tcW w:type="dxa" w:w="6066"/>
            <w:tcBorders>
              <w:top w:val="nil"/>
              <w:left w:val="nil"/>
              <w:bottom w:val="nil"/>
              <w:right w:val="nil"/>
              <w:insideH w:val="nil"/>
              <w:insideV w:val="nil"/>
            </w:tcBorders>
          </w:tcPr>
          <w:p>
            <w:pPr>
              <w:spacing w:after="20"/>
              <w:ind w:firstLine="0"/>
            </w:pPr>
            <w:r>
              <w:rPr>
                <w:rFonts w:ascii="Times New Roman" w:hAnsi="Times New Roman" w:eastAsia="Times New Roman"/>
                <w:sz w:val="23"/>
              </w:rPr>
              <w:t>PDG</w:t>
            </w:r>
          </w:p>
        </w:tc>
      </w:tr>
      <w:tr>
        <w:tc>
          <w:tcPr>
            <w:tcW w:type="dxa" w:w="3288"/>
            <w:tcBorders>
              <w:top w:val="nil"/>
              <w:left w:val="nil"/>
              <w:bottom w:val="nil"/>
              <w:right w:val="nil"/>
              <w:insideH w:val="nil"/>
              <w:insideV w:val="nil"/>
            </w:tcBorders>
          </w:tcPr>
          <w:p>
            <w:pPr>
              <w:spacing w:after="20"/>
              <w:ind w:firstLine="0"/>
            </w:pPr>
            <w:r>
              <w:rPr>
                <w:rFonts w:ascii="Times New Roman" w:hAnsi="Times New Roman" w:eastAsia="Times New Roman"/>
                <w:b/>
                <w:sz w:val="23"/>
              </w:rPr>
              <w:t>Version:</w:t>
            </w:r>
          </w:p>
        </w:tc>
        <w:tc>
          <w:tcPr>
            <w:tcW w:type="dxa" w:w="6066"/>
            <w:tcBorders>
              <w:top w:val="nil"/>
              <w:left w:val="nil"/>
              <w:bottom w:val="nil"/>
              <w:right w:val="nil"/>
              <w:insideH w:val="nil"/>
              <w:insideV w:val="nil"/>
            </w:tcBorders>
          </w:tcPr>
          <w:p>
            <w:pPr>
              <w:spacing w:after="20"/>
              <w:ind w:firstLine="0"/>
            </w:pPr>
            <w:r>
              <w:rPr>
                <w:rFonts w:ascii="Times New Roman" w:hAnsi="Times New Roman" w:eastAsia="Times New Roman"/>
                <w:sz w:val="23"/>
              </w:rPr>
              <w:t>v0.1</w:t>
            </w:r>
          </w:p>
        </w:tc>
      </w:tr>
      <w:tr>
        <w:tc>
          <w:tcPr>
            <w:tcW w:type="dxa" w:w="3288"/>
            <w:tcBorders>
              <w:top w:val="nil"/>
              <w:left w:val="nil"/>
              <w:bottom w:val="nil"/>
              <w:right w:val="nil"/>
              <w:insideH w:val="nil"/>
              <w:insideV w:val="nil"/>
            </w:tcBorders>
          </w:tcPr>
          <w:p>
            <w:pPr>
              <w:spacing w:after="20"/>
              <w:ind w:firstLine="0"/>
            </w:pPr>
            <w:r>
              <w:rPr>
                <w:rFonts w:ascii="Times New Roman" w:hAnsi="Times New Roman" w:eastAsia="Times New Roman"/>
                <w:b/>
                <w:sz w:val="23"/>
              </w:rPr>
              <w:t>Development stage:</w:t>
            </w:r>
          </w:p>
        </w:tc>
        <w:tc>
          <w:tcPr>
            <w:tcW w:type="dxa" w:w="6066"/>
            <w:tcBorders>
              <w:top w:val="nil"/>
              <w:left w:val="nil"/>
              <w:bottom w:val="nil"/>
              <w:right w:val="nil"/>
              <w:insideH w:val="nil"/>
              <w:insideV w:val="nil"/>
            </w:tcBorders>
          </w:tcPr>
          <w:p>
            <w:pPr>
              <w:spacing w:after="20"/>
              <w:ind w:firstLine="0"/>
            </w:pPr>
            <w:r>
              <w:rPr>
                <w:rFonts w:ascii="Times New Roman" w:hAnsi="Times New Roman" w:eastAsia="Times New Roman"/>
                <w:sz w:val="23"/>
              </w:rPr>
              <w:t>Preliminary Design / Prototype / Proof of Feasibility</w:t>
            </w:r>
          </w:p>
        </w:tc>
      </w:tr>
      <w:tr>
        <w:tc>
          <w:tcPr>
            <w:tcW w:type="dxa" w:w="3288"/>
            <w:tcBorders>
              <w:top w:val="nil"/>
              <w:left w:val="nil"/>
              <w:bottom w:val="nil"/>
              <w:right w:val="nil"/>
              <w:insideH w:val="nil"/>
              <w:insideV w:val="nil"/>
            </w:tcBorders>
          </w:tcPr>
          <w:p>
            <w:pPr>
              <w:spacing w:after="20"/>
              <w:ind w:firstLine="0"/>
            </w:pPr>
            <w:r>
              <w:rPr>
                <w:rFonts w:ascii="Times New Roman" w:hAnsi="Times New Roman" w:eastAsia="Times New Roman"/>
                <w:b/>
                <w:sz w:val="23"/>
              </w:rPr>
              <w:t>Author:</w:t>
            </w:r>
          </w:p>
        </w:tc>
        <w:tc>
          <w:tcPr>
            <w:tcW w:type="dxa" w:w="6066"/>
            <w:tcBorders>
              <w:top w:val="nil"/>
              <w:left w:val="nil"/>
              <w:bottom w:val="nil"/>
              <w:right w:val="nil"/>
              <w:insideH w:val="nil"/>
              <w:insideV w:val="nil"/>
            </w:tcBorders>
          </w:tcPr>
          <w:p>
            <w:pPr>
              <w:spacing w:after="20"/>
              <w:ind w:firstLine="0"/>
            </w:pPr>
            <w:r>
              <w:rPr>
                <w:rFonts w:ascii="Times New Roman" w:hAnsi="Times New Roman" w:eastAsia="Times New Roman"/>
                <w:sz w:val="23"/>
              </w:rPr>
              <w:t>Andrii Nikolaiev</w:t>
            </w:r>
          </w:p>
        </w:tc>
      </w:tr>
      <w:tr>
        <w:tc>
          <w:tcPr>
            <w:tcW w:type="dxa" w:w="3288"/>
            <w:tcBorders>
              <w:top w:val="nil"/>
              <w:left w:val="nil"/>
              <w:bottom w:val="nil"/>
              <w:right w:val="nil"/>
              <w:insideH w:val="nil"/>
              <w:insideV w:val="nil"/>
            </w:tcBorders>
          </w:tcPr>
          <w:p>
            <w:pPr>
              <w:spacing w:after="20"/>
              <w:ind w:firstLine="0"/>
            </w:pPr>
            <w:r>
              <w:rPr>
                <w:rFonts w:ascii="Times New Roman" w:hAnsi="Times New Roman" w:eastAsia="Times New Roman"/>
                <w:b/>
                <w:sz w:val="23"/>
              </w:rPr>
              <w:t>Basis for development:</w:t>
            </w:r>
          </w:p>
        </w:tc>
        <w:tc>
          <w:tcPr>
            <w:tcW w:type="dxa" w:w="6066"/>
            <w:tcBorders>
              <w:top w:val="nil"/>
              <w:left w:val="nil"/>
              <w:bottom w:val="nil"/>
              <w:right w:val="nil"/>
              <w:insideH w:val="nil"/>
              <w:insideV w:val="nil"/>
            </w:tcBorders>
          </w:tcPr>
          <w:p>
            <w:pPr>
              <w:spacing w:after="20"/>
              <w:ind w:firstLine="0"/>
            </w:pPr>
            <w:r>
              <w:rPr>
                <w:rFonts w:ascii="Times New Roman" w:hAnsi="Times New Roman" w:eastAsia="Times New Roman"/>
                <w:sz w:val="23"/>
              </w:rPr>
              <w:t>approved Perimeter Data Gateway v0.1 Technical Requirements</w:t>
            </w:r>
          </w:p>
        </w:tc>
      </w:tr>
      <w:tr>
        <w:tc>
          <w:tcPr>
            <w:tcW w:type="dxa" w:w="3288"/>
            <w:tcBorders>
              <w:top w:val="nil"/>
              <w:left w:val="nil"/>
              <w:bottom w:val="nil"/>
              <w:right w:val="nil"/>
              <w:insideH w:val="nil"/>
              <w:insideV w:val="nil"/>
            </w:tcBorders>
          </w:tcPr>
          <w:p>
            <w:pPr>
              <w:spacing w:after="20"/>
              <w:ind w:firstLine="0"/>
            </w:pPr>
            <w:r>
              <w:rPr>
                <w:rFonts w:ascii="Times New Roman" w:hAnsi="Times New Roman" w:eastAsia="Times New Roman"/>
                <w:b/>
                <w:sz w:val="23"/>
              </w:rPr>
              <w:t>Approving person for the Technical Requirements:</w:t>
            </w:r>
          </w:p>
        </w:tc>
        <w:tc>
          <w:tcPr>
            <w:tcW w:type="dxa" w:w="6066"/>
            <w:tcBorders>
              <w:top w:val="nil"/>
              <w:left w:val="nil"/>
              <w:bottom w:val="nil"/>
              <w:right w:val="nil"/>
              <w:insideH w:val="nil"/>
              <w:insideV w:val="nil"/>
            </w:tcBorders>
          </w:tcPr>
          <w:p>
            <w:pPr>
              <w:spacing w:after="20"/>
              <w:ind w:firstLine="0"/>
            </w:pPr>
            <w:r>
              <w:rPr>
                <w:rFonts w:ascii="Times New Roman" w:hAnsi="Times New Roman" w:eastAsia="Times New Roman"/>
                <w:sz w:val="23"/>
              </w:rPr>
              <w:t>Andrii Nikolaiev</w:t>
            </w:r>
          </w:p>
        </w:tc>
      </w:tr>
      <w:tr>
        <w:tc>
          <w:tcPr>
            <w:tcW w:type="dxa" w:w="3288"/>
            <w:tcBorders>
              <w:top w:val="nil"/>
              <w:left w:val="nil"/>
              <w:bottom w:val="nil"/>
              <w:right w:val="nil"/>
              <w:insideH w:val="nil"/>
              <w:insideV w:val="nil"/>
            </w:tcBorders>
          </w:tcPr>
          <w:p>
            <w:pPr>
              <w:spacing w:after="20"/>
              <w:ind w:firstLine="0"/>
            </w:pPr>
            <w:r>
              <w:rPr>
                <w:rFonts w:ascii="Times New Roman" w:hAnsi="Times New Roman" w:eastAsia="Times New Roman"/>
                <w:b/>
                <w:sz w:val="23"/>
              </w:rPr>
              <w:t>Technical Requirements approval date:</w:t>
            </w:r>
          </w:p>
        </w:tc>
        <w:tc>
          <w:tcPr>
            <w:tcW w:type="dxa" w:w="6066"/>
            <w:tcBorders>
              <w:top w:val="nil"/>
              <w:left w:val="nil"/>
              <w:bottom w:val="nil"/>
              <w:right w:val="nil"/>
              <w:insideH w:val="nil"/>
              <w:insideV w:val="nil"/>
            </w:tcBorders>
          </w:tcPr>
          <w:p>
            <w:pPr>
              <w:spacing w:after="20"/>
              <w:ind w:firstLine="0"/>
            </w:pPr>
            <w:r>
              <w:rPr>
                <w:rFonts w:ascii="Times New Roman" w:hAnsi="Times New Roman" w:eastAsia="Times New Roman"/>
                <w:sz w:val="23"/>
              </w:rPr>
              <w:t>27 August 2026</w:t>
            </w:r>
          </w:p>
        </w:tc>
      </w:tr>
      <w:tr>
        <w:tc>
          <w:tcPr>
            <w:tcW w:type="dxa" w:w="3288"/>
            <w:tcBorders>
              <w:top w:val="nil"/>
              <w:left w:val="nil"/>
              <w:bottom w:val="nil"/>
              <w:right w:val="nil"/>
              <w:insideH w:val="nil"/>
              <w:insideV w:val="nil"/>
            </w:tcBorders>
          </w:tcPr>
          <w:p>
            <w:pPr>
              <w:spacing w:after="20"/>
              <w:ind w:firstLine="0"/>
            </w:pPr>
            <w:r>
              <w:rPr>
                <w:rFonts w:ascii="Times New Roman" w:hAnsi="Times New Roman" w:eastAsia="Times New Roman"/>
                <w:b/>
                <w:sz w:val="23"/>
              </w:rPr>
              <w:t>Explanatory Note date:</w:t>
            </w:r>
          </w:p>
        </w:tc>
        <w:tc>
          <w:tcPr>
            <w:tcW w:type="dxa" w:w="6066"/>
            <w:tcBorders>
              <w:top w:val="nil"/>
              <w:left w:val="nil"/>
              <w:bottom w:val="nil"/>
              <w:right w:val="nil"/>
              <w:insideH w:val="nil"/>
              <w:insideV w:val="nil"/>
            </w:tcBorders>
          </w:tcPr>
          <w:p>
            <w:pPr>
              <w:spacing w:after="20"/>
              <w:ind w:firstLine="0"/>
            </w:pPr>
            <w:r>
              <w:rPr>
                <w:rFonts w:ascii="Times New Roman" w:hAnsi="Times New Roman" w:eastAsia="Times New Roman"/>
                <w:sz w:val="23"/>
              </w:rPr>
              <w:t>28 August 2026</w:t>
            </w:r>
          </w:p>
        </w:tc>
      </w:tr>
      <w:tr>
        <w:tc>
          <w:tcPr>
            <w:tcW w:type="dxa" w:w="3288"/>
            <w:tcBorders>
              <w:top w:val="nil"/>
              <w:left w:val="nil"/>
              <w:bottom w:val="nil"/>
              <w:right w:val="nil"/>
              <w:insideH w:val="nil"/>
              <w:insideV w:val="nil"/>
            </w:tcBorders>
          </w:tcPr>
          <w:p>
            <w:pPr>
              <w:spacing w:after="20"/>
              <w:ind w:firstLine="0"/>
            </w:pPr>
            <w:r>
              <w:rPr>
                <w:rFonts w:ascii="Times New Roman" w:hAnsi="Times New Roman" w:eastAsia="Times New Roman"/>
                <w:b/>
                <w:sz w:val="23"/>
              </w:rPr>
              <w:t>Explanatory Note status:</w:t>
            </w:r>
          </w:p>
        </w:tc>
        <w:tc>
          <w:tcPr>
            <w:tcW w:type="dxa" w:w="6066"/>
            <w:tcBorders>
              <w:top w:val="nil"/>
              <w:left w:val="nil"/>
              <w:bottom w:val="nil"/>
              <w:right w:val="nil"/>
              <w:insideH w:val="nil"/>
              <w:insideV w:val="nil"/>
            </w:tcBorders>
          </w:tcPr>
          <w:p>
            <w:pPr>
              <w:spacing w:after="20"/>
              <w:ind w:firstLine="0"/>
            </w:pPr>
            <w:r>
              <w:rPr>
                <w:rFonts w:ascii="Times New Roman" w:hAnsi="Times New Roman" w:eastAsia="Times New Roman"/>
                <w:sz w:val="23"/>
              </w:rPr>
              <w:t>final Preliminary Design revision, issued for approval</w:t>
            </w:r>
          </w:p>
        </w:tc>
      </w:tr>
    </w:tbl>
    <w:p>
      <w:pPr>
        <w:spacing w:before="360"/>
        <w:ind w:firstLine="0"/>
        <w:jc w:val="left"/>
      </w:pPr>
      <w:r>
        <w:rPr>
          <w:rFonts w:ascii="Times New Roman" w:hAnsi="Times New Roman" w:eastAsia="Times New Roman"/>
          <w:sz w:val="22"/>
        </w:rPr>
        <w:t>The development is carried out by the author as an independent project. No development organization is specified at this stage.</w:t>
      </w:r>
    </w:p>
    <w:p>
      <w:r>
        <w:br w:type="page"/>
      </w:r>
    </w:p>
    <w:p>
      <w:pPr>
        <w:pStyle w:val="PZQuote"/>
        <w:ind w:left="340" w:right="170"/>
        <w:jc w:val="both"/>
      </w:pPr>
      <w:r>
        <w:rPr>
          <w:rFonts w:ascii="Times New Roman" w:hAnsi="Times New Roman" w:eastAsia="Times New Roman"/>
          <w:i w:val="0"/>
          <w:sz w:val="21"/>
        </w:rPr>
        <w:t>Document structure note. This Explanatory Note is structured in accordance with GOST 19.404-79: "Introduction", "Purpose and Scope", "Technical Characteristics", "Expected Technical and Economic Indicators", and "Sources Used in Development". The standard permits additional subsections and appendices when required by the nature of the software. Accordingly, the Introduction is supplemented with the overall engineering concept, detailed rationale is concentrated in Section 3, and the technical groundwork accumulated during Preliminary Design is preserved in the appendices. The main text fixes architectural decisions and invariants. The appendices contain informational and candidate implementation variants (C#, SQL, JWT, Platform Store, Docker/Compose) so that subsequent implementation does not start from a blank page. A candidate artifact does not automatically become a normative requirement: during implementation it must be checked against the Technical Requirements and either accepted or changed with the reason recorded.</w:t>
      </w:r>
    </w:p>
    <w:p>
      <w:pPr>
        <w:pStyle w:val="PZHeading1"/>
        <w:ind w:firstLine="0"/>
      </w:pPr>
      <w:r>
        <w:rPr>
          <w:rFonts w:ascii="Times New Roman" w:hAnsi="Times New Roman" w:eastAsia="Times New Roman"/>
          <w:b/>
          <w:i w:val="0"/>
          <w:sz w:val="30"/>
        </w:rPr>
        <w:t>1. Introduction</w:t>
      </w:r>
    </w:p>
    <w:p>
      <w:pPr>
        <w:pStyle w:val="PZHeading2"/>
        <w:ind w:firstLine="0"/>
      </w:pPr>
      <w:r>
        <w:rPr>
          <w:rFonts w:ascii="Times New Roman" w:hAnsi="Times New Roman" w:eastAsia="Times New Roman"/>
          <w:b/>
          <w:i w:val="0"/>
          <w:sz w:val="26"/>
        </w:rPr>
        <w:t>1.1. Development name and basis for the work</w:t>
      </w:r>
    </w:p>
    <w:p>
      <w:r>
        <w:rPr>
          <w:rFonts w:ascii="Times New Roman" w:hAnsi="Times New Roman" w:eastAsia="Times New Roman"/>
          <w:b w:val="0"/>
          <w:i w:val="0"/>
          <w:sz w:val="24"/>
        </w:rPr>
        <w:t>This Explanatory Note relates to the Preliminary Design of the Perimeter Data Gateway (PDG) v0.1 software product.</w:t>
      </w:r>
      <w:r>
        <w:rPr>
          <w:rFonts w:ascii="Times New Roman" w:hAnsi="Times New Roman" w:eastAsia="Times New Roman"/>
          <w:b/>
          <w:i w:val="0"/>
          <w:sz w:val="24"/>
        </w:rPr>
      </w:r>
      <w:r>
        <w:rPr>
          <w:rFonts w:ascii="Times New Roman" w:hAnsi="Times New Roman" w:eastAsia="Times New Roman"/>
          <w:b w:val="0"/>
          <w:i w:val="0"/>
          <w:sz w:val="24"/>
        </w:rPr>
      </w:r>
    </w:p>
    <w:p>
      <w:r>
        <w:rPr>
          <w:rFonts w:ascii="Times New Roman" w:hAnsi="Times New Roman" w:eastAsia="Times New Roman"/>
          <w:b w:val="0"/>
          <w:i w:val="0"/>
          <w:sz w:val="24"/>
        </w:rPr>
        <w:t>The basis for development is the approved Perimeter Data Gateway v0.1 Technical Requirements, approved by Andrii Nikolaiev on 27 August 2026. The Technical Requirements define v0.1 as the "Preliminary Design / Prototype / Proof of Feasibility" stage.</w:t>
      </w:r>
      <w:r>
        <w:rPr>
          <w:rFonts w:ascii="Times New Roman" w:hAnsi="Times New Roman" w:eastAsia="Times New Roman"/>
          <w:b/>
          <w:i w:val="0"/>
          <w:sz w:val="24"/>
        </w:rPr>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p>
    <w:p>
      <w:r>
        <w:rPr>
          <w:rFonts w:ascii="Times New Roman" w:hAnsi="Times New Roman" w:eastAsia="Times New Roman"/>
          <w:b w:val="0"/>
          <w:i w:val="0"/>
          <w:sz w:val="24"/>
        </w:rPr>
        <w:t>The Explanatory Note does not replace, extend, or amend the Technical Requirements. The Technical Requirements define what PDG must provide. This document explains why the corresponding architectural and technical decisions were selected to satisfy those requirements, how they interact, and how their operability must be confirmed at the Preliminary Design stage.</w:t>
      </w:r>
      <w:r>
        <w:rPr>
          <w:rFonts w:ascii="Times New Roman" w:hAnsi="Times New Roman" w:eastAsia="Times New Roman"/>
          <w:b/>
          <w:i w:val="0"/>
          <w:sz w:val="24"/>
        </w:rPr>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1.2. Engineering problem statement</w:t>
      </w:r>
    </w:p>
    <w:p>
      <w:r>
        <w:rPr>
          <w:rFonts w:ascii="Times New Roman" w:hAnsi="Times New Roman" w:eastAsia="Times New Roman"/>
          <w:b w:val="0"/>
          <w:i w:val="0"/>
          <w:sz w:val="24"/>
        </w:rPr>
        <w:t>Corporate databases are usually designed for traditional applications, operators, and predefined software interfaces. Their native access model does not assume that an autonomous or semi-autonomous AI Actor will receive database credentials and the right to construct arbitrary SQL commands.</w:t>
      </w:r>
    </w:p>
    <w:p>
      <w:r>
        <w:rPr>
          <w:rFonts w:ascii="Times New Roman" w:hAnsi="Times New Roman" w:eastAsia="Times New Roman"/>
          <w:b w:val="0"/>
          <w:i w:val="0"/>
          <w:sz w:val="24"/>
        </w:rPr>
        <w:t>Giving an Actor direct DBMS credentials or unrestricted SQL creates a mismatch between the task and the technical freedom granted. A limited business question may require only a few fields and a tightly bounded set of rows, while a database credential or arbitrary SQL can potentially expose a much broader surface of data and operations.</w:t>
      </w:r>
    </w:p>
    <w:p>
      <w:r>
        <w:rPr>
          <w:rFonts w:ascii="Times New Roman" w:hAnsi="Times New Roman" w:eastAsia="Times New Roman"/>
          <w:b w:val="0"/>
          <w:i w:val="0"/>
          <w:sz w:val="24"/>
        </w:rPr>
        <w:t>At the same time, AI is well suited to a different function: interpreting a user's natural-language intent and converting it into a structured request. That ability does not make AI a source of authority. The result of request interpretation must not be treated as an authorization decision.</w:t>
      </w:r>
    </w:p>
    <w:p>
      <w:r>
        <w:rPr>
          <w:rFonts w:ascii="Times New Roman" w:hAnsi="Times New Roman" w:eastAsia="Times New Roman"/>
          <w:b w:val="0"/>
          <w:i w:val="0"/>
          <w:sz w:val="24"/>
        </w:rPr>
        <w:t>PDG is therefore based on separating two functions:</w:t>
      </w:r>
    </w:p>
    <w:p>
      <w:pPr>
        <w:spacing w:before="60" w:after="100"/>
        <w:ind w:firstLine="0"/>
        <w:jc w:val="center"/>
      </w:pPr>
      <w:r>
        <w:rPr>
          <w:rFonts w:ascii="Times New Roman" w:hAnsi="Times New Roman" w:eastAsia="Times New Roman"/>
          <w:b/>
          <w:i w:val="0"/>
          <w:sz w:val="24"/>
        </w:rPr>
        <w:t>AI determines the meaning of the requested action.</w:t>
        <w:br/>
        <w:t>PDG deterministically determines the permitted data access.</w:t>
      </w:r>
      <w:r/>
      <w:r>
        <w:rPr>
          <w:rFonts w:ascii="Times New Roman" w:hAnsi="Times New Roman" w:eastAsia="Times New Roman"/>
          <w:b/>
          <w:i w:val="0"/>
          <w:sz w:val="24"/>
        </w:rPr>
      </w:r>
    </w:p>
    <w:p>
      <w:r>
        <w:rPr>
          <w:rFonts w:ascii="Times New Roman" w:hAnsi="Times New Roman" w:eastAsia="Times New Roman"/>
          <w:b w:val="0"/>
          <w:i w:val="0"/>
          <w:sz w:val="24"/>
        </w:rPr>
        <w:t>The Corporate Data Source remains an ordinary corporate data source and does not become the Actor's direct interaction surface.</w:t>
      </w:r>
    </w:p>
    <w:p>
      <w:pPr>
        <w:pStyle w:val="PZHeading2"/>
        <w:ind w:firstLine="0"/>
      </w:pPr>
      <w:r>
        <w:rPr>
          <w:rFonts w:ascii="Times New Roman" w:hAnsi="Times New Roman" w:eastAsia="Times New Roman"/>
          <w:b/>
          <w:i w:val="0"/>
          <w:sz w:val="26"/>
        </w:rPr>
        <w:t>1.3. Objective of the Preliminary Design</w:t>
      </w:r>
    </w:p>
    <w:p>
      <w:r>
        <w:rPr>
          <w:rFonts w:ascii="Times New Roman" w:hAnsi="Times New Roman" w:eastAsia="Times New Roman"/>
          <w:b w:val="0"/>
          <w:i w:val="0"/>
          <w:sz w:val="24"/>
        </w:rPr>
        <w:t>The objective of v0.1 is not to create a universal production platform, but to demonstrate the technical feasibility of a controlled boundary between an Actor and an existing Corporate Data Source.</w:t>
      </w:r>
    </w:p>
    <w:p>
      <w:r>
        <w:rPr>
          <w:rFonts w:ascii="Times New Roman" w:hAnsi="Times New Roman" w:eastAsia="Times New Roman"/>
          <w:b w:val="0"/>
          <w:i w:val="0"/>
          <w:sz w:val="24"/>
        </w:rPr>
        <w:t>In accordance with the approved Technical Requirements, the hypothesis to be verified consists of twelve properties:</w:t>
      </w:r>
    </w:p>
    <w:p>
      <w:pPr>
        <w:pStyle w:val="PZList"/>
        <w:ind w:left="454" w:hanging="283"/>
      </w:pPr>
      <w:r>
        <w:rPr>
          <w:rFonts w:ascii="Times New Roman" w:hAnsi="Times New Roman" w:eastAsia="Times New Roman"/>
          <w:sz w:val="24"/>
        </w:rPr>
        <w:t>1. The Actor does not receive database credentials.</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2. The Actor does not receive raw/arbitrary SQL.</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3. Subject and Actor are independent identities.</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4. Subject-Actor delegation is verified.</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5. Actor capabilities are constrained independently of Subject permissions.</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6. Authorization is performed through deterministic policy evaluation.</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7. Access is restricted at resource, row, and column level.</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8. The Corporate Data Source is used in read-only mode.</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9. Application-level restrictions are reinforced by DB-level least privilege.</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10. ALLOW and DENY decisions are subject to mandatory audit.</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11. Major failure classes must be distinguishable.</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12. The prototype must support self-hosted deployment.</w:t>
      </w:r>
      <w:r>
        <w:rPr>
          <w:rFonts w:ascii="Times New Roman" w:hAnsi="Times New Roman" w:eastAsia="Times New Roman"/>
          <w:b w:val="0"/>
          <w:i w:val="0"/>
          <w:sz w:val="24"/>
        </w:rPr>
      </w:r>
    </w:p>
    <w:p>
      <w:r>
        <w:rPr>
          <w:rFonts w:ascii="Times New Roman" w:hAnsi="Times New Roman" w:eastAsia="Times New Roman"/>
          <w:b w:val="0"/>
          <w:i w:val="0"/>
          <w:sz w:val="24"/>
        </w:rPr>
        <w:t>The engineering result of the stage is determined not by the presence of each property individually, but by the joint operability of the complete set.</w:t>
      </w:r>
    </w:p>
    <w:p>
      <w:pPr>
        <w:pStyle w:val="PZHeading2"/>
        <w:ind w:firstLine="0"/>
      </w:pPr>
      <w:r>
        <w:rPr>
          <w:rFonts w:ascii="Times New Roman" w:hAnsi="Times New Roman" w:eastAsia="Times New Roman"/>
          <w:b/>
          <w:i w:val="0"/>
          <w:sz w:val="26"/>
        </w:rPr>
        <w:t>1.4. Core operating principle</w:t>
      </w:r>
    </w:p>
    <w:p>
      <w:r>
        <w:rPr>
          <w:rFonts w:ascii="Times New Roman" w:hAnsi="Times New Roman" w:eastAsia="Times New Roman"/>
          <w:b w:val="0"/>
          <w:i w:val="0"/>
          <w:sz w:val="24"/>
        </w:rPr>
        <w:t>PDG is located between the Actor and the Corporate Data Source and gives the Actor access not to the physical database schema, but to a predefined Published Resource.</w:t>
      </w:r>
      <w:r>
        <w:rPr>
          <w:rFonts w:ascii="Times New Roman" w:hAnsi="Times New Roman" w:eastAsia="Times New Roman"/>
          <w:b/>
          <w:i w:val="0"/>
          <w:sz w:val="24"/>
        </w:rPr>
      </w:r>
      <w:r>
        <w:rPr>
          <w:rFonts w:ascii="Times New Roman" w:hAnsi="Times New Roman" w:eastAsia="Times New Roman"/>
          <w:b w:val="0"/>
          <w:i w:val="0"/>
          <w:sz w:val="24"/>
        </w:rPr>
      </w:r>
    </w:p>
    <w:p>
      <w:r>
        <w:rPr>
          <w:rFonts w:ascii="Times New Roman" w:hAnsi="Times New Roman" w:eastAsia="Times New Roman"/>
          <w:b w:val="0"/>
          <w:i w:val="0"/>
          <w:sz w:val="24"/>
        </w:rPr>
        <w:t>The logical operating sequence is:</w:t>
      </w:r>
    </w:p>
    <w:p>
      <w:r>
        <w:rPr>
          <w:rFonts w:ascii="Times New Roman" w:hAnsi="Times New Roman" w:eastAsia="Times New Roman"/>
          <w:b/>
          <w:i w:val="0"/>
          <w:sz w:val="24"/>
        </w:rPr>
        <w:t>Subject → Actor → Authentication → Delegation / Capability / Policy → Published Resource → Corporate Data Source → Audit → Result</w:t>
      </w:r>
    </w:p>
    <w:p>
      <w:r>
        <w:rPr>
          <w:rFonts w:ascii="Times New Roman" w:hAnsi="Times New Roman" w:eastAsia="Times New Roman"/>
          <w:b w:val="0"/>
          <w:i w:val="0"/>
          <w:sz w:val="24"/>
        </w:rPr>
        <w:t>v0.1 uses one Published Resource - SalesSummary.</w:t>
      </w:r>
      <w:r>
        <w:rPr>
          <w:rFonts w:ascii="Times New Roman" w:hAnsi="Times New Roman" w:eastAsia="Times New Roman"/>
          <w:b/>
          <w:i w:val="0"/>
          <w:sz w:val="24"/>
        </w:rPr>
      </w:r>
      <w:r>
        <w:rPr>
          <w:rFonts w:ascii="Times New Roman" w:hAnsi="Times New Roman" w:eastAsia="Times New Roman"/>
          <w:b w:val="0"/>
          <w:i w:val="0"/>
          <w:sz w:val="24"/>
        </w:rPr>
      </w:r>
    </w:p>
    <w:p>
      <w:r>
        <w:rPr>
          <w:rFonts w:ascii="Times New Roman" w:hAnsi="Times New Roman" w:eastAsia="Times New Roman"/>
          <w:b w:val="0"/>
          <w:i w:val="0"/>
          <w:sz w:val="24"/>
        </w:rPr>
        <w:t>The Actor does not control table, view, or column names, JOINs, SQL WHERE, ORDER BY, or other SQL fragments. AI may translate the user phrase "show sales for the USA" into a structured call SalesSummary(country=USA), but merely forming that call does not grant the right to obtain USA data. PDG determines the authorization.</w:t>
      </w:r>
      <w:r>
        <w:rPr>
          <w:rFonts w:ascii="Courier New" w:hAnsi="Courier New" w:eastAsia="Courier New"/>
          <w:b w:val="0"/>
          <w:i w:val="0"/>
          <w:sz w:val="23"/>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1.5. Effective Access principle</w:t>
      </w:r>
    </w:p>
    <w:p>
      <w:r>
        <w:rPr>
          <w:rFonts w:ascii="Times New Roman" w:hAnsi="Times New Roman" w:eastAsia="Times New Roman"/>
          <w:b w:val="0"/>
          <w:i w:val="0"/>
          <w:sz w:val="24"/>
        </w:rPr>
        <w:t>Final access is formed as the intersection of five independent constraints:</w:t>
      </w:r>
    </w:p>
    <w:p>
      <w:pPr>
        <w:spacing w:before="60" w:after="100"/>
        <w:ind w:firstLine="0"/>
        <w:jc w:val="center"/>
      </w:pPr>
      <w:r>
        <w:rPr>
          <w:rFonts w:ascii="Times New Roman" w:hAnsi="Times New Roman" w:eastAsia="Times New Roman"/>
          <w:b/>
          <w:i w:val="0"/>
          <w:sz w:val="24"/>
        </w:rPr>
        <w:t>Validated JWT scope</w:t>
      </w:r>
      <w:r>
        <w:br/>
      </w:r>
      <w:r>
        <w:rPr>
          <w:rFonts w:ascii="Times New Roman" w:hAnsi="Times New Roman" w:eastAsia="Times New Roman"/>
          <w:b/>
          <w:i w:val="0"/>
          <w:sz w:val="24"/>
        </w:rPr>
        <w:t>∩ Actor policy limits</w:t>
      </w:r>
      <w:r>
        <w:br/>
      </w:r>
      <w:r>
        <w:rPr>
          <w:rFonts w:ascii="Times New Roman" w:hAnsi="Times New Roman" w:eastAsia="Times New Roman"/>
          <w:b/>
          <w:i w:val="0"/>
          <w:sz w:val="24"/>
        </w:rPr>
        <w:t>∩ permitted Subject–Actor delegation</w:t>
      </w:r>
      <w:r>
        <w:br/>
      </w:r>
      <w:r>
        <w:rPr>
          <w:rFonts w:ascii="Times New Roman" w:hAnsi="Times New Roman" w:eastAsia="Times New Roman"/>
          <w:b/>
          <w:i w:val="0"/>
          <w:sz w:val="24"/>
        </w:rPr>
        <w:t>∩ Subject permissions</w:t>
      </w:r>
      <w:r>
        <w:br/>
      </w:r>
      <w:r>
        <w:rPr>
          <w:rFonts w:ascii="Times New Roman" w:hAnsi="Times New Roman" w:eastAsia="Times New Roman"/>
          <w:b/>
          <w:i w:val="0"/>
          <w:sz w:val="24"/>
        </w:rPr>
        <w:t>∩ Published Resource constraints</w:t>
      </w:r>
    </w:p>
    <w:p>
      <w:r>
        <w:rPr>
          <w:rFonts w:ascii="Times New Roman" w:hAnsi="Times New Roman" w:eastAsia="Times New Roman"/>
          <w:b w:val="0"/>
          <w:i w:val="0"/>
          <w:sz w:val="24"/>
        </w:rPr>
        <w:t>Each member of the intersection can only preserve or narrow access. Broader user permissions do not override an Actor restriction; a capability in the JWT does not override a prohibition in Actor policy limits; a valid Actor cannot act on behalf of a Subject without permitted delegation; and no factor expands the Published Resource contract.</w:t>
      </w:r>
    </w:p>
    <w:p>
      <w:pPr>
        <w:pStyle w:val="PZHeading2"/>
        <w:ind w:firstLine="0"/>
      </w:pPr>
      <w:r>
        <w:rPr>
          <w:rFonts w:ascii="Times New Roman" w:hAnsi="Times New Roman" w:eastAsia="Times New Roman"/>
          <w:b/>
          <w:i w:val="0"/>
          <w:sz w:val="26"/>
        </w:rPr>
        <w:t>1.6. Defense in Depth principle</w:t>
      </w:r>
    </w:p>
    <w:p>
      <w:r>
        <w:rPr>
          <w:rFonts w:ascii="Times New Roman" w:hAnsi="Times New Roman" w:eastAsia="Times New Roman"/>
          <w:b w:val="0"/>
          <w:i w:val="0"/>
          <w:sz w:val="24"/>
        </w:rPr>
        <w:t>An ALLOW decision in the Application/Policy layer is not treated as the only protection for the Corporate Data Source. v0.1 adds a second independent layer: the database security boundary. The runtime database identity must have only the minimum privileges required for the approved read-only representation and must not have direct access to protected base tables or write/DDL privileges.</w:t>
      </w:r>
    </w:p>
    <w:p>
      <w:r>
        <w:rPr>
          <w:rFonts w:ascii="Times New Roman" w:hAnsi="Times New Roman" w:eastAsia="Times New Roman"/>
          <w:b w:val="0"/>
          <w:i w:val="0"/>
          <w:sz w:val="24"/>
        </w:rPr>
        <w:t>The Application/Policy layer determines what a particular Subject may access through a particular Actor. The database security layer establishes a technical ceiling on what the PDG process can read or modify at all under its runtime identity.</w:t>
      </w:r>
      <w:r>
        <w:rPr>
          <w:rFonts w:ascii="Times New Roman" w:hAnsi="Times New Roman" w:eastAsia="Times New Roman"/>
          <w:b/>
          <w:i w:val="0"/>
          <w:sz w:val="24"/>
        </w:rPr>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1.7. Read-only as an architectural boundary of v0.1</w:t>
      </w:r>
    </w:p>
    <w:p>
      <w:r>
        <w:rPr>
          <w:rFonts w:ascii="Times New Roman" w:hAnsi="Times New Roman" w:eastAsia="Times New Roman"/>
          <w:b w:val="0"/>
          <w:i w:val="0"/>
          <w:sz w:val="24"/>
        </w:rPr>
        <w:t>The Corporate Data Source in v0.1 is used exclusively for reading. INSERT, UPDATE, DELETE, DDL, and arbitrary SQL are outside the hypothesis being verified. This is not a temporary endpoint limitation but a deliberate Preliminary Design boundary: safe writes would require a separate body of evidence covering transaction semantics, repeatability, operation confirmation, compensation for erroneous actions, and control of business-state changes.</w:t>
      </w:r>
    </w:p>
    <w:p>
      <w:pPr>
        <w:pStyle w:val="PZHeading2"/>
        <w:ind w:firstLine="0"/>
      </w:pPr>
      <w:r>
        <w:rPr>
          <w:rFonts w:ascii="Times New Roman" w:hAnsi="Times New Roman" w:eastAsia="Times New Roman"/>
          <w:b/>
          <w:i w:val="0"/>
          <w:sz w:val="26"/>
        </w:rPr>
        <w:t>1.8. Distinguishability of failures</w:t>
      </w:r>
    </w:p>
    <w:p>
      <w:r>
        <w:rPr>
          <w:rFonts w:ascii="Times New Roman" w:hAnsi="Times New Roman" w:eastAsia="Times New Roman"/>
          <w:b w:val="0"/>
          <w:i w:val="0"/>
          <w:sz w:val="24"/>
        </w:rPr>
        <w:t>PDG must distinguish lack of permission from inability to execute the access mechanism correctly. Platform Store unavailability must not be disguised as DENY; Corporate Data Source failure must not be disguised as a missing resource; mandatory audit failure must not be disguised as a normal ALLOW or DENY; and malformed mandatory policy/configuration must cause a fail-closed error rather than expand access.</w:t>
      </w:r>
    </w:p>
    <w:p>
      <w:pPr>
        <w:pStyle w:val="PZHeading2"/>
        <w:ind w:firstLine="0"/>
      </w:pPr>
      <w:r>
        <w:rPr>
          <w:rFonts w:ascii="Times New Roman" w:hAnsi="Times New Roman" w:eastAsia="Times New Roman"/>
          <w:b/>
          <w:i w:val="0"/>
          <w:sz w:val="26"/>
        </w:rPr>
        <w:t>1.9. Self-hosted principle</w:t>
      </w:r>
    </w:p>
    <w:p>
      <w:r>
        <w:rPr>
          <w:rFonts w:ascii="Times New Roman" w:hAnsi="Times New Roman" w:eastAsia="Times New Roman"/>
          <w:b w:val="0"/>
          <w:i w:val="0"/>
          <w:sz w:val="24"/>
        </w:rPr>
        <w:t>PDG is designed as a self-hosted gateway. The core prototype function must not require mandatory transfer of the corporate database to an external cloud platform or a mandatory SaaS dependency for making authorization decisions.</w:t>
      </w:r>
    </w:p>
    <w:p>
      <w:r>
        <w:rPr>
          <w:rFonts w:ascii="Times New Roman" w:hAnsi="Times New Roman" w:eastAsia="Times New Roman"/>
          <w:b w:val="0"/>
          <w:i w:val="0"/>
          <w:sz w:val="24"/>
        </w:rPr>
        <w:t>Self-hosted does not mean that an authorized result can physically never leave the perimeter: what happens after data release depends on the deployment topology and the Actor. The PDG guarantee applies to the gateway architecture itself and to the absence of a mandatory external platform dependency for the core function.</w:t>
      </w:r>
    </w:p>
    <w:p>
      <w:pPr>
        <w:pStyle w:val="PZHeading2"/>
        <w:ind w:firstLine="0"/>
      </w:pPr>
      <w:r>
        <w:rPr>
          <w:rFonts w:ascii="Times New Roman" w:hAnsi="Times New Roman" w:eastAsia="Times New Roman"/>
          <w:b/>
          <w:i w:val="0"/>
          <w:sz w:val="26"/>
        </w:rPr>
        <w:t>1.10. Role of this Explanatory Note</w:t>
      </w:r>
    </w:p>
    <w:p>
      <w:r>
        <w:rPr>
          <w:rFonts w:ascii="Times New Roman" w:hAnsi="Times New Roman" w:eastAsia="Times New Roman"/>
          <w:b w:val="0"/>
          <w:i w:val="0"/>
          <w:sz w:val="24"/>
        </w:rPr>
        <w:t>The following sections justify the Published Resource model, Subject/Actor delegation, JWT semantics, separation of Platform Store and Corporate Data Source, row/column enforcement, database-level least privilege, audit/fail-closed behavior, error model, self-hosted deployment, selection of the demonstration database and software stack, residual risks, the performance-measurement method, and the position of PDG relative to the existing state of the art.</w:t>
      </w:r>
    </w:p>
    <w:p>
      <w:pPr>
        <w:pStyle w:val="PZHeading1"/>
        <w:ind w:firstLine="0"/>
      </w:pPr>
      <w:r>
        <w:rPr>
          <w:rFonts w:ascii="Times New Roman" w:hAnsi="Times New Roman" w:eastAsia="Times New Roman"/>
          <w:b/>
          <w:i w:val="0"/>
          <w:sz w:val="30"/>
        </w:rPr>
        <w:t>2. Purpose and Scope</w:t>
      </w:r>
    </w:p>
    <w:p>
      <w:pPr>
        <w:pStyle w:val="PZHeading2"/>
        <w:ind w:firstLine="0"/>
      </w:pPr>
      <w:r>
        <w:rPr>
          <w:rFonts w:ascii="Times New Roman" w:hAnsi="Times New Roman" w:eastAsia="Times New Roman"/>
          <w:b/>
          <w:i w:val="0"/>
          <w:sz w:val="26"/>
        </w:rPr>
        <w:t>2.1. Program purpose</w:t>
      </w:r>
    </w:p>
    <w:p>
      <w:r>
        <w:rPr>
          <w:rFonts w:ascii="Times New Roman" w:hAnsi="Times New Roman" w:eastAsia="Times New Roman"/>
          <w:b w:val="0"/>
          <w:i w:val="0"/>
          <w:sz w:val="24"/>
        </w:rPr>
        <w:t>Perimeter Data Gateway is intended to provide controlled, limited, and auditable access by software agents and internal services to data in existing corporate information systems.</w:t>
      </w:r>
    </w:p>
    <w:p>
      <w:r>
        <w:rPr>
          <w:rFonts w:ascii="Times New Roman" w:hAnsi="Times New Roman" w:eastAsia="Times New Roman"/>
          <w:b w:val="0"/>
          <w:i w:val="0"/>
          <w:sz w:val="24"/>
        </w:rPr>
        <w:t>PDG does not replace the corporate DBMS, Identity Provider, AI model, or application system. Its purpose is to create an additional trusted boundary between a software Actor and the Corporate Data Source within which presented identity is validated, delegation is checked, Effective Access is computed, Published Resource constraints are applied, and the result of the request is recorded.</w:t>
      </w:r>
    </w:p>
    <w:p>
      <w:r>
        <w:rPr>
          <w:rFonts w:ascii="Times New Roman" w:hAnsi="Times New Roman" w:eastAsia="Times New Roman"/>
          <w:b w:val="0"/>
          <w:i w:val="0"/>
          <w:sz w:val="24"/>
        </w:rPr>
        <w:t>Thus, the Actor is a client of a published business function, not a client of the database.</w:t>
      </w:r>
      <w:r>
        <w:rPr>
          <w:rFonts w:ascii="Times New Roman" w:hAnsi="Times New Roman" w:eastAsia="Times New Roman"/>
          <w:b/>
          <w:i w:val="0"/>
          <w:sz w:val="24"/>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2.2. Scope of application</w:t>
      </w:r>
    </w:p>
    <w:p>
      <w:r>
        <w:rPr>
          <w:rFonts w:ascii="Times New Roman" w:hAnsi="Times New Roman" w:eastAsia="Times New Roman"/>
          <w:b w:val="0"/>
          <w:i w:val="0"/>
          <w:sz w:val="24"/>
        </w:rPr>
        <w:t>The primary scope is self-hosted information systems in which business data already resides in a relational database and a software agent should receive only a defined read-only subset of that data.</w:t>
      </w:r>
    </w:p>
    <w:p>
      <w:r>
        <w:rPr>
          <w:rFonts w:ascii="Times New Roman" w:hAnsi="Times New Roman" w:eastAsia="Times New Roman"/>
          <w:b w:val="0"/>
          <w:i w:val="0"/>
          <w:sz w:val="24"/>
        </w:rPr>
        <w:t>PDG is particularly appropriate where the system owner does not want to issue database credentials to the Actor, does not want to accept raw SQL from AI, and wants to retain the existing Corporate Data Source without redesigning the business schema for AI integration.</w:t>
      </w:r>
    </w:p>
    <w:p>
      <w:r>
        <w:rPr>
          <w:rFonts w:ascii="Times New Roman" w:hAnsi="Times New Roman" w:eastAsia="Times New Roman"/>
          <w:b w:val="0"/>
          <w:i w:val="0"/>
          <w:sz w:val="24"/>
        </w:rPr>
        <w:t>v0.1 uses one demonstration Corporate Data Source: PostgreSQL with the Chinook database. Corporate business tables and business data are not modified during normal PDG operation; technical security objects required to constrain runtime access may be created around the existing schema.</w:t>
      </w:r>
    </w:p>
    <w:p>
      <w:pPr>
        <w:pStyle w:val="PZHeading2"/>
        <w:ind w:firstLine="0"/>
      </w:pPr>
      <w:r>
        <w:rPr>
          <w:rFonts w:ascii="Times New Roman" w:hAnsi="Times New Roman" w:eastAsia="Times New Roman"/>
          <w:b/>
          <w:i w:val="0"/>
          <w:sz w:val="26"/>
        </w:rPr>
        <w:t>2.3. v0.1 demonstration scenario</w:t>
      </w:r>
    </w:p>
    <w:p>
      <w:r>
        <w:rPr>
          <w:rFonts w:ascii="Times New Roman" w:hAnsi="Times New Roman" w:eastAsia="Times New Roman"/>
          <w:b w:val="0"/>
          <w:i w:val="0"/>
          <w:sz w:val="24"/>
        </w:rPr>
        <w:t>In the demonstration scenario, a person acts as the Subject, a software AI assistant acts as the Actor, and access is provided to one Published Resource - SalesSummary.</w:t>
      </w:r>
      <w:r>
        <w:rPr>
          <w:rFonts w:ascii="Times New Roman" w:hAnsi="Times New Roman" w:eastAsia="Times New Roman"/>
          <w:b/>
          <w:i w:val="0"/>
          <w:sz w:val="24"/>
        </w:rPr>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The resource requires the sales.read capability and returns only four fields:</w:t>
      </w:r>
      <w:r>
        <w:rPr>
          <w:rFonts w:ascii="Courier New" w:hAnsi="Courier New" w:eastAsia="Courier New"/>
          <w:b w:val="0"/>
          <w:i w:val="0"/>
          <w:sz w:val="23"/>
        </w:rPr>
      </w:r>
      <w:r>
        <w:rPr>
          <w:rFonts w:ascii="Times New Roman" w:hAnsi="Times New Roman" w:eastAsia="Times New Roman"/>
          <w:b w:val="0"/>
          <w:i w:val="0"/>
          <w:sz w:val="24"/>
        </w:rPr>
      </w:r>
    </w:p>
    <w:p>
      <w:pPr>
        <w:pStyle w:val="PZCaption"/>
        <w:ind w:firstLine="0"/>
        <w:jc w:val="left"/>
      </w:pPr>
      <w:r>
        <w:rPr>
          <w:rFonts w:ascii="Times New Roman" w:hAnsi="Times New Roman" w:eastAsia="Times New Roman"/>
          <w:b/>
          <w:i w:val="0"/>
          <w:sz w:val="21"/>
        </w:rPr>
        <w:t>Table 2.1 - Output contract of the SalesSummary Published Resource</w:t>
      </w:r>
      <w:r>
        <w:rPr>
          <w:rFonts w:ascii="Courier New" w:hAnsi="Courier New" w:eastAsia="Courier New"/>
          <w:b/>
          <w:i w:val="0"/>
          <w:sz w:val="20"/>
        </w:rPr>
      </w:r>
    </w:p>
    <w:tbl>
      <w:tblPr>
        <w:tblStyle w:val="TableGrid"/>
        <w:tblW w:type="auto" w:w="0"/>
        <w:jc w:val="center"/>
        <w:tblLayout w:type="fixed"/>
        <w:tblLook w:firstColumn="1" w:firstRow="1" w:lastColumn="0" w:lastRow="0" w:noHBand="0" w:noVBand="1" w:val="04A0"/>
      </w:tblPr>
      <w:tblGrid>
        <w:gridCol w:w="4819"/>
        <w:gridCol w:w="4819"/>
      </w:tblGrid>
      <w:tr>
        <w:trPr>
          <w:cantSplit/>
          <w:tblHeader w:val="true"/>
        </w:trPr>
        <w:tc>
          <w:tcPr>
            <w:tcW w:type="dxa" w:w="1606"/>
            <w:vAlign w:val="center"/>
            <w:shd w:fill="E7E6E6"/>
          </w:tcPr>
          <w:p>
            <w:pPr>
              <w:spacing w:after="20" w:before="20"/>
              <w:ind w:firstLine="0"/>
              <w:jc w:val="left"/>
            </w:pPr>
            <w:r>
              <w:rPr>
                <w:rFonts w:ascii="Times New Roman" w:hAnsi="Times New Roman" w:eastAsia="Times New Roman"/>
                <w:b/>
                <w:i w:val="0"/>
                <w:sz w:val="18"/>
              </w:rPr>
              <w:t>Field</w:t>
            </w:r>
          </w:p>
        </w:tc>
        <w:tc>
          <w:tcPr>
            <w:tcW w:type="dxa" w:w="8030"/>
            <w:vAlign w:val="center"/>
            <w:shd w:fill="E7E6E6"/>
          </w:tcPr>
          <w:p>
            <w:pPr>
              <w:spacing w:after="20" w:before="20"/>
              <w:ind w:firstLine="0"/>
              <w:jc w:val="left"/>
            </w:pPr>
            <w:r>
              <w:rPr>
                <w:rFonts w:ascii="Times New Roman" w:hAnsi="Times New Roman" w:eastAsia="Times New Roman"/>
                <w:b/>
                <w:i w:val="0"/>
                <w:sz w:val="18"/>
              </w:rPr>
              <w:t>Contract meaning</w:t>
            </w:r>
          </w:p>
        </w:tc>
      </w:tr>
      <w:tr>
        <w:trPr>
          <w:cantSplit/>
        </w:trPr>
        <w:tc>
          <w:tcPr>
            <w:tcW w:type="dxa" w:w="1606"/>
            <w:vAlign w:val="center"/>
          </w:tcPr>
          <w:p>
            <w:pPr>
              <w:spacing w:after="20" w:before="20"/>
              <w:ind w:firstLine="0"/>
              <w:jc w:val="left"/>
            </w:pPr>
            <w:r>
              <w:rPr>
                <w:rFonts w:ascii="Courier New" w:hAnsi="Courier New" w:eastAsia="Courier New"/>
                <w:b w:val="0"/>
                <w:i w:val="0"/>
                <w:sz w:val="17"/>
              </w:rPr>
              <w:t>CustomerId</w:t>
            </w:r>
          </w:p>
        </w:tc>
        <w:tc>
          <w:tcPr>
            <w:tcW w:type="dxa" w:w="8030"/>
            <w:vAlign w:val="center"/>
          </w:tcPr>
          <w:p>
            <w:pPr>
              <w:spacing w:after="20" w:before="20"/>
              <w:ind w:firstLine="0"/>
              <w:jc w:val="left"/>
            </w:pPr>
            <w:r>
              <w:rPr>
                <w:rFonts w:ascii="Times New Roman" w:hAnsi="Times New Roman" w:eastAsia="Times New Roman"/>
                <w:b w:val="0"/>
                <w:i w:val="0"/>
                <w:sz w:val="18"/>
              </w:rPr>
              <w:t>customer identifier in the demonstration data set</w:t>
            </w:r>
          </w:p>
        </w:tc>
      </w:tr>
      <w:tr>
        <w:trPr>
          <w:cantSplit/>
        </w:trPr>
        <w:tc>
          <w:tcPr>
            <w:tcW w:type="dxa" w:w="1606"/>
            <w:vAlign w:val="center"/>
          </w:tcPr>
          <w:p>
            <w:pPr>
              <w:spacing w:after="20" w:before="20"/>
              <w:ind w:firstLine="0"/>
              <w:jc w:val="left"/>
            </w:pPr>
            <w:r>
              <w:rPr>
                <w:rFonts w:ascii="Courier New" w:hAnsi="Courier New" w:eastAsia="Courier New"/>
                <w:b w:val="0"/>
                <w:i w:val="0"/>
                <w:sz w:val="17"/>
              </w:rPr>
              <w:t>Country</w:t>
            </w:r>
          </w:p>
        </w:tc>
        <w:tc>
          <w:tcPr>
            <w:tcW w:type="dxa" w:w="8030"/>
            <w:vAlign w:val="center"/>
          </w:tcPr>
          <w:p>
            <w:pPr>
              <w:spacing w:after="20" w:before="20"/>
              <w:ind w:firstLine="0"/>
              <w:jc w:val="left"/>
            </w:pPr>
            <w:r>
              <w:rPr>
                <w:rFonts w:ascii="Times New Roman" w:hAnsi="Times New Roman" w:eastAsia="Times New Roman"/>
                <w:b w:val="0"/>
                <w:i w:val="0"/>
                <w:sz w:val="18"/>
              </w:rPr>
              <w:t>country used in the published resource semantics</w:t>
            </w:r>
          </w:p>
        </w:tc>
      </w:tr>
      <w:tr>
        <w:trPr>
          <w:cantSplit/>
        </w:trPr>
        <w:tc>
          <w:tcPr>
            <w:tcW w:type="dxa" w:w="1606"/>
            <w:vAlign w:val="center"/>
          </w:tcPr>
          <w:p>
            <w:pPr>
              <w:spacing w:after="20" w:before="20"/>
              <w:ind w:firstLine="0"/>
              <w:jc w:val="left"/>
            </w:pPr>
            <w:r>
              <w:rPr>
                <w:rFonts w:ascii="Courier New" w:hAnsi="Courier New" w:eastAsia="Courier New"/>
                <w:b w:val="0"/>
                <w:i w:val="0"/>
                <w:sz w:val="17"/>
              </w:rPr>
              <w:t>InvoiceDate</w:t>
            </w:r>
          </w:p>
        </w:tc>
        <w:tc>
          <w:tcPr>
            <w:tcW w:type="dxa" w:w="8030"/>
            <w:vAlign w:val="center"/>
          </w:tcPr>
          <w:p>
            <w:pPr>
              <w:spacing w:after="20" w:before="20"/>
              <w:ind w:firstLine="0"/>
              <w:jc w:val="left"/>
            </w:pPr>
            <w:r>
              <w:rPr>
                <w:rFonts w:ascii="Times New Roman" w:hAnsi="Times New Roman" w:eastAsia="Times New Roman"/>
                <w:b w:val="0"/>
                <w:i w:val="0"/>
                <w:sz w:val="18"/>
              </w:rPr>
              <w:t>invoice date</w:t>
            </w:r>
          </w:p>
        </w:tc>
      </w:tr>
      <w:tr>
        <w:trPr>
          <w:cantSplit/>
        </w:trPr>
        <w:tc>
          <w:tcPr>
            <w:tcW w:type="dxa" w:w="1606"/>
            <w:vAlign w:val="center"/>
          </w:tcPr>
          <w:p>
            <w:pPr>
              <w:spacing w:after="20" w:before="20"/>
              <w:ind w:firstLine="0"/>
              <w:jc w:val="left"/>
            </w:pPr>
            <w:r>
              <w:rPr>
                <w:rFonts w:ascii="Courier New" w:hAnsi="Courier New" w:eastAsia="Courier New"/>
                <w:b w:val="0"/>
                <w:i w:val="0"/>
                <w:sz w:val="17"/>
              </w:rPr>
              <w:t>Total</w:t>
            </w:r>
          </w:p>
        </w:tc>
        <w:tc>
          <w:tcPr>
            <w:tcW w:type="dxa" w:w="8030"/>
            <w:vAlign w:val="center"/>
          </w:tcPr>
          <w:p>
            <w:pPr>
              <w:spacing w:after="20" w:before="20"/>
              <w:ind w:firstLine="0"/>
              <w:jc w:val="left"/>
            </w:pPr>
            <w:r>
              <w:rPr>
                <w:rFonts w:ascii="Times New Roman" w:hAnsi="Times New Roman" w:eastAsia="Times New Roman"/>
                <w:b w:val="0"/>
                <w:i w:val="0"/>
                <w:sz w:val="18"/>
              </w:rPr>
              <w:t>invoice total</w:t>
            </w:r>
          </w:p>
        </w:tc>
      </w:tr>
    </w:tbl>
    <w:p>
      <w:pPr>
        <w:spacing w:after="20"/>
        <w:ind w:firstLine="0"/>
      </w:pPr>
    </w:p>
    <w:p>
      <w:r>
        <w:rPr>
          <w:rFonts w:ascii="Times New Roman" w:hAnsi="Times New Roman" w:eastAsia="Times New Roman"/>
          <w:b w:val="0"/>
          <w:i w:val="0"/>
          <w:sz w:val="24"/>
        </w:rPr>
        <w:t>SalesSummary does not return Address, PostalCode, Phone, Fax, or Email.</w:t>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The physical mapping of Country to a specific Chinook column is not part of the Actor contract and is not fixed prematurely by this Explanatory Note. What is essential is that the accepted demo implementation use one unambiguous and stable mapping and that the Actor cannot choose the physical source of the field.</w:t>
      </w:r>
      <w:r>
        <w:rPr>
          <w:rFonts w:ascii="Courier New" w:hAnsi="Courier New" w:eastAsia="Courier New"/>
          <w:b w:val="0"/>
          <w:i w:val="0"/>
          <w:sz w:val="23"/>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2.4. Responsibility boundary between Actor, PDG, and Corporate Data Source</w:t>
      </w:r>
    </w:p>
    <w:p>
      <w:r>
        <w:rPr>
          <w:rFonts w:ascii="Times New Roman" w:hAnsi="Times New Roman" w:eastAsia="Times New Roman"/>
          <w:b w:val="0"/>
          <w:i w:val="0"/>
          <w:sz w:val="24"/>
        </w:rPr>
        <w:t>In traditional database-oriented integration, the calling party may operate on tables, columns, JOINs, and predicates. In the PDG model this technical surface is hidden.</w:t>
      </w:r>
    </w:p>
    <w:p>
      <w:pPr>
        <w:keepNext/>
        <w:spacing w:before="100" w:after="40"/>
        <w:ind w:firstLine="0"/>
        <w:jc w:val="center"/>
      </w:pPr>
      <w:r>
        <w:drawing>
          <wp:inline xmlns:a="http://schemas.openxmlformats.org/drawingml/2006/main" xmlns:pic="http://schemas.openxmlformats.org/drawingml/2006/picture">
            <wp:extent cx="5580000" cy="485217"/>
            <wp:docPr id="1" name="Picture 1"/>
            <wp:cNvGraphicFramePr>
              <a:graphicFrameLocks noChangeAspect="1"/>
            </wp:cNvGraphicFramePr>
            <a:graphic>
              <a:graphicData uri="http://schemas.openxmlformats.org/drawingml/2006/picture">
                <pic:pic>
                  <pic:nvPicPr>
                    <pic:cNvPr id="0" name="fig_1.png"/>
                    <pic:cNvPicPr/>
                  </pic:nvPicPr>
                  <pic:blipFill>
                    <a:blip r:embed="rId11"/>
                    <a:stretch>
                      <a:fillRect/>
                    </a:stretch>
                  </pic:blipFill>
                  <pic:spPr>
                    <a:xfrm>
                      <a:off x="0" y="0"/>
                      <a:ext cx="5580000" cy="485217"/>
                    </a:xfrm>
                    <a:prstGeom prst="rect"/>
                  </pic:spPr>
                </pic:pic>
              </a:graphicData>
            </a:graphic>
          </wp:inline>
        </w:drawing>
      </w:r>
    </w:p>
    <w:p>
      <w:pPr>
        <w:pStyle w:val="PZCaption"/>
        <w:ind w:firstLine="0"/>
        <w:jc w:val="left"/>
      </w:pPr>
      <w:r>
        <w:rPr>
          <w:rFonts w:ascii="Times New Roman" w:hAnsi="Times New Roman" w:eastAsia="Times New Roman"/>
          <w:b/>
          <w:i w:val="0"/>
          <w:sz w:val="21"/>
        </w:rPr>
        <w:t>Figure 2.1 - Boundary between the Actor, Published Resource, and the physical Corporate Data Source schema</w:t>
      </w:r>
    </w:p>
    <w:p>
      <w:r>
        <w:rPr>
          <w:rFonts w:ascii="Times New Roman" w:hAnsi="Times New Roman" w:eastAsia="Times New Roman"/>
          <w:b w:val="0"/>
          <w:i w:val="0"/>
          <w:sz w:val="24"/>
        </w:rPr>
        <w:t>This separation allows the physical implementation of a resource to change without exposing the database structure to the Actor and without turning a schema change into an authorization-contract change.</w:t>
      </w:r>
    </w:p>
    <w:p>
      <w:pPr>
        <w:pStyle w:val="PZHeading2"/>
        <w:ind w:firstLine="0"/>
      </w:pPr>
      <w:r>
        <w:rPr>
          <w:rFonts w:ascii="Times New Roman" w:hAnsi="Times New Roman" w:eastAsia="Times New Roman"/>
          <w:b/>
          <w:i w:val="0"/>
          <w:sz w:val="26"/>
        </w:rPr>
        <w:t>2.5. Scope boundaries of v0.1</w:t>
      </w:r>
    </w:p>
    <w:p>
      <w:r>
        <w:rPr>
          <w:rFonts w:ascii="Times New Roman" w:hAnsi="Times New Roman" w:eastAsia="Times New Roman"/>
          <w:b w:val="0"/>
          <w:i w:val="0"/>
          <w:sz w:val="24"/>
        </w:rPr>
        <w:t>v0.1 is not an LLM, chatbot, CRM, ETL/BI system, Identity Provider, universal database proxy, SQL-over-HTTP interface, Corporate Data Source write system, production-ready HA platform, full OAuth Token Exchange implementation, tamper-proof audit store, real-time cumulative-abuse detector, or administrative policy-management system.</w:t>
      </w:r>
    </w:p>
    <w:p>
      <w:r>
        <w:rPr>
          <w:rFonts w:ascii="Times New Roman" w:hAnsi="Times New Roman" w:eastAsia="Times New Roman"/>
          <w:b w:val="0"/>
          <w:i w:val="0"/>
          <w:sz w:val="24"/>
        </w:rPr>
        <w:t>The prototype is limited to one Corporate Data Source, one Published Resource, and a test issuer for demo/test. This limitation is necessary so that the Preliminary Design answers one clear question: whether the selected trust-boundary architecture has been demonstrated, rather than how many application functions were implemented.</w:t>
      </w:r>
    </w:p>
    <w:p>
      <w:pPr>
        <w:pStyle w:val="PZHeading1"/>
        <w:ind w:firstLine="0"/>
      </w:pPr>
      <w:r>
        <w:rPr>
          <w:rFonts w:ascii="Times New Roman" w:hAnsi="Times New Roman" w:eastAsia="Times New Roman"/>
          <w:b/>
          <w:i w:val="0"/>
          <w:sz w:val="30"/>
        </w:rPr>
        <w:t>3. Technical Characteristics</w:t>
      </w:r>
    </w:p>
    <w:p>
      <w:pPr>
        <w:pStyle w:val="PZHeading2"/>
        <w:ind w:firstLine="0"/>
      </w:pPr>
      <w:r>
        <w:rPr>
          <w:rFonts w:ascii="Times New Roman" w:hAnsi="Times New Roman" w:eastAsia="Times New Roman"/>
          <w:b/>
          <w:i w:val="0"/>
          <w:sz w:val="26"/>
        </w:rPr>
        <w:t>3.1. Problem formulation and proof plan</w:t>
      </w:r>
    </w:p>
    <w:p>
      <w:r>
        <w:rPr>
          <w:rFonts w:ascii="Times New Roman" w:hAnsi="Times New Roman" w:eastAsia="Times New Roman"/>
          <w:b w:val="0"/>
          <w:i w:val="0"/>
          <w:sz w:val="24"/>
        </w:rPr>
        <w:t>GOST 19.404-79 requires this section to state the task, describe operation, organize input/output data, and justify technical and software means. For PDG, the task is to construct a deterministic boundary that permits only predefined authorized reads from an existing corporate database and does not give the Actor mechanisms to expand that scope independently.</w:t>
      </w:r>
    </w:p>
    <w:p>
      <w:r>
        <w:rPr>
          <w:rFonts w:ascii="Times New Roman" w:hAnsi="Times New Roman" w:eastAsia="Times New Roman"/>
          <w:b w:val="0"/>
          <w:i w:val="0"/>
          <w:sz w:val="24"/>
        </w:rPr>
        <w:t>The properties to be verified are linked to architectural decisions and tests as follows.</w:t>
      </w:r>
    </w:p>
    <w:p>
      <w:pPr>
        <w:pStyle w:val="PZCaption"/>
        <w:ind w:firstLine="0"/>
        <w:jc w:val="left"/>
      </w:pPr>
      <w:r>
        <w:rPr>
          <w:rFonts w:ascii="Times New Roman" w:hAnsi="Times New Roman" w:eastAsia="Times New Roman"/>
          <w:b/>
          <w:i w:val="0"/>
          <w:sz w:val="21"/>
        </w:rPr>
        <w:t>Table 3.1 - Relationship between the hypothesis, mechanisms, and tests</w:t>
      </w:r>
    </w:p>
    <w:tbl>
      <w:tblPr>
        <w:tblStyle w:val="TableGrid"/>
        <w:tblW w:type="auto" w:w="0"/>
        <w:jc w:val="center"/>
        <w:tblLayout w:type="fixed"/>
        <w:tblLook w:firstColumn="1" w:firstRow="1" w:lastColumn="0" w:lastRow="0" w:noHBand="0" w:noVBand="1" w:val="04A0"/>
      </w:tblPr>
      <w:tblGrid>
        <w:gridCol w:w="2410"/>
        <w:gridCol w:w="2410"/>
        <w:gridCol w:w="2410"/>
        <w:gridCol w:w="2410"/>
      </w:tblGrid>
      <w:tr>
        <w:trPr>
          <w:cantSplit/>
          <w:tblHeader w:val="true"/>
        </w:trPr>
        <w:tc>
          <w:tcPr>
            <w:tcW w:type="dxa" w:w="2312"/>
            <w:vAlign w:val="center"/>
            <w:shd w:fill="E7E6E6"/>
          </w:tcPr>
          <w:p>
            <w:pPr>
              <w:spacing w:after="20" w:before="20"/>
              <w:ind w:firstLine="0"/>
              <w:jc w:val="left"/>
            </w:pPr>
            <w:r>
              <w:rPr>
                <w:rFonts w:ascii="Times New Roman" w:hAnsi="Times New Roman" w:eastAsia="Times New Roman"/>
                <w:b/>
                <w:i w:val="0"/>
                <w:sz w:val="18"/>
              </w:rPr>
              <w:t>Hypothesis property</w:t>
            </w:r>
          </w:p>
        </w:tc>
        <w:tc>
          <w:tcPr>
            <w:tcW w:type="dxa" w:w="3854"/>
            <w:vAlign w:val="center"/>
            <w:shd w:fill="E7E6E6"/>
          </w:tcPr>
          <w:p>
            <w:pPr>
              <w:spacing w:after="20" w:before="20"/>
              <w:ind w:firstLine="0"/>
              <w:jc w:val="left"/>
            </w:pPr>
            <w:r>
              <w:rPr>
                <w:rFonts w:ascii="Times New Roman" w:hAnsi="Times New Roman" w:eastAsia="Times New Roman"/>
                <w:b/>
                <w:i w:val="0"/>
                <w:sz w:val="18"/>
              </w:rPr>
              <w:t>Primary technical mechanism</w:t>
            </w:r>
          </w:p>
        </w:tc>
        <w:tc>
          <w:tcPr>
            <w:tcW w:type="dxa" w:w="1092"/>
            <w:vAlign w:val="center"/>
            <w:shd w:fill="E7E6E6"/>
          </w:tcPr>
          <w:p>
            <w:pPr>
              <w:spacing w:after="20" w:before="20"/>
              <w:ind w:firstLine="0"/>
              <w:jc w:val="left"/>
            </w:pPr>
            <w:r>
              <w:rPr>
                <w:rFonts w:ascii="Times New Roman" w:hAnsi="Times New Roman" w:eastAsia="Times New Roman"/>
                <w:b/>
                <w:i w:val="0"/>
                <w:sz w:val="18"/>
              </w:rPr>
              <w:t>Explanatory Note section</w:t>
            </w:r>
          </w:p>
        </w:tc>
        <w:tc>
          <w:tcPr>
            <w:tcW w:type="dxa" w:w="2377"/>
            <w:vAlign w:val="center"/>
            <w:shd w:fill="E7E6E6"/>
          </w:tcPr>
          <w:p>
            <w:pPr>
              <w:spacing w:after="20" w:before="20"/>
              <w:ind w:firstLine="0"/>
              <w:jc w:val="left"/>
            </w:pPr>
            <w:r>
              <w:rPr>
                <w:rFonts w:ascii="Times New Roman" w:hAnsi="Times New Roman" w:eastAsia="Times New Roman"/>
                <w:b/>
                <w:i w:val="0"/>
                <w:sz w:val="18"/>
              </w:rPr>
              <w:t>Primary verification</w:t>
            </w:r>
          </w:p>
        </w:tc>
      </w:tr>
      <w:tr>
        <w:trPr>
          <w:cantSplit/>
        </w:trPr>
        <w:tc>
          <w:tcPr>
            <w:tcW w:type="dxa" w:w="2312"/>
            <w:vAlign w:val="center"/>
          </w:tcPr>
          <w:p>
            <w:pPr>
              <w:spacing w:after="20" w:before="20"/>
              <w:ind w:firstLine="0"/>
              <w:jc w:val="left"/>
            </w:pPr>
            <w:r>
              <w:rPr>
                <w:rFonts w:ascii="Times New Roman" w:hAnsi="Times New Roman" w:eastAsia="Times New Roman"/>
                <w:b w:val="0"/>
                <w:i w:val="0"/>
                <w:sz w:val="18"/>
              </w:rPr>
              <w:t>Actor without DB credentials</w:t>
            </w:r>
          </w:p>
        </w:tc>
        <w:tc>
          <w:tcPr>
            <w:tcW w:type="dxa" w:w="3854"/>
            <w:vAlign w:val="center"/>
          </w:tcPr>
          <w:p>
            <w:pPr>
              <w:spacing w:after="20" w:before="20"/>
              <w:ind w:firstLine="0"/>
              <w:jc w:val="left"/>
            </w:pPr>
            <w:r>
              <w:rPr>
                <w:rFonts w:ascii="Times New Roman" w:hAnsi="Times New Roman" w:eastAsia="Times New Roman"/>
                <w:b w:val="0"/>
                <w:i w:val="0"/>
                <w:sz w:val="18"/>
              </w:rPr>
              <w:t>PDG owns runtime DB access; the Actor presents only bearer identity</w:t>
            </w:r>
          </w:p>
        </w:tc>
        <w:tc>
          <w:tcPr>
            <w:tcW w:type="dxa" w:w="1092"/>
            <w:vAlign w:val="center"/>
          </w:tcPr>
          <w:p>
            <w:pPr>
              <w:spacing w:after="20" w:before="20"/>
              <w:ind w:firstLine="0"/>
              <w:jc w:val="left"/>
            </w:pPr>
            <w:r>
              <w:rPr>
                <w:rFonts w:ascii="Times New Roman" w:hAnsi="Times New Roman" w:eastAsia="Times New Roman"/>
                <w:b w:val="0"/>
                <w:i w:val="0"/>
                <w:sz w:val="18"/>
              </w:rPr>
              <w:t>§3.2, §3.7, §3.13</w:t>
            </w:r>
          </w:p>
        </w:tc>
        <w:tc>
          <w:tcPr>
            <w:tcW w:type="dxa" w:w="2377"/>
            <w:vAlign w:val="center"/>
          </w:tcPr>
          <w:p>
            <w:pPr>
              <w:spacing w:after="20" w:before="20"/>
              <w:ind w:firstLine="0"/>
              <w:jc w:val="left"/>
            </w:pPr>
            <w:r>
              <w:rPr>
                <w:rFonts w:ascii="Times New Roman" w:hAnsi="Times New Roman" w:eastAsia="Times New Roman"/>
                <w:b w:val="0"/>
                <w:i w:val="0"/>
                <w:sz w:val="18"/>
              </w:rPr>
              <w:t>configuration review + end-to-end T-27</w:t>
            </w:r>
          </w:p>
        </w:tc>
      </w:tr>
      <w:tr>
        <w:trPr>
          <w:cantSplit/>
        </w:trPr>
        <w:tc>
          <w:tcPr>
            <w:tcW w:type="dxa" w:w="2312"/>
            <w:vAlign w:val="center"/>
          </w:tcPr>
          <w:p>
            <w:pPr>
              <w:spacing w:after="20" w:before="20"/>
              <w:ind w:firstLine="0"/>
              <w:jc w:val="left"/>
            </w:pPr>
            <w:r>
              <w:rPr>
                <w:rFonts w:ascii="Times New Roman" w:hAnsi="Times New Roman" w:eastAsia="Times New Roman"/>
                <w:b w:val="0"/>
                <w:i w:val="0"/>
                <w:sz w:val="18"/>
              </w:rPr>
              <w:t>No raw/arbitrary SQL</w:t>
            </w:r>
          </w:p>
        </w:tc>
        <w:tc>
          <w:tcPr>
            <w:tcW w:type="dxa" w:w="3854"/>
            <w:vAlign w:val="center"/>
          </w:tcPr>
          <w:p>
            <w:pPr>
              <w:spacing w:after="20" w:before="20"/>
              <w:ind w:firstLine="0"/>
              <w:jc w:val="left"/>
            </w:pPr>
            <w:r>
              <w:rPr>
                <w:rFonts w:ascii="Times New Roman" w:hAnsi="Times New Roman" w:eastAsia="Times New Roman"/>
                <w:b w:val="0"/>
                <w:i w:val="0"/>
                <w:sz w:val="18"/>
              </w:rPr>
              <w:t>Published Resource + bounded parameters; the Actor does not define query structure</w:t>
            </w:r>
          </w:p>
        </w:tc>
        <w:tc>
          <w:tcPr>
            <w:tcW w:type="dxa" w:w="1092"/>
            <w:vAlign w:val="center"/>
          </w:tcPr>
          <w:p>
            <w:pPr>
              <w:spacing w:after="20" w:before="20"/>
              <w:ind w:firstLine="0"/>
              <w:jc w:val="left"/>
            </w:pPr>
            <w:r>
              <w:rPr>
                <w:rFonts w:ascii="Times New Roman" w:hAnsi="Times New Roman" w:eastAsia="Times New Roman"/>
                <w:b w:val="0"/>
                <w:i w:val="0"/>
                <w:sz w:val="18"/>
              </w:rPr>
              <w:t>§3.3</w:t>
            </w:r>
          </w:p>
        </w:tc>
        <w:tc>
          <w:tcPr>
            <w:tcW w:type="dxa" w:w="2377"/>
            <w:vAlign w:val="center"/>
          </w:tcPr>
          <w:p>
            <w:pPr>
              <w:spacing w:after="20" w:before="20"/>
              <w:ind w:firstLine="0"/>
              <w:jc w:val="left"/>
            </w:pPr>
            <w:r>
              <w:rPr>
                <w:rFonts w:ascii="Times New Roman" w:hAnsi="Times New Roman" w:eastAsia="Times New Roman"/>
                <w:b w:val="0"/>
                <w:i w:val="0"/>
                <w:sz w:val="18"/>
              </w:rPr>
              <w:t>T-16, T-22</w:t>
            </w:r>
          </w:p>
        </w:tc>
      </w:tr>
      <w:tr>
        <w:trPr>
          <w:cantSplit/>
        </w:trPr>
        <w:tc>
          <w:tcPr>
            <w:tcW w:type="dxa" w:w="2312"/>
            <w:vAlign w:val="center"/>
          </w:tcPr>
          <w:p>
            <w:pPr>
              <w:spacing w:after="20" w:before="20"/>
              <w:ind w:firstLine="0"/>
              <w:jc w:val="left"/>
            </w:pPr>
            <w:r>
              <w:rPr>
                <w:rFonts w:ascii="Times New Roman" w:hAnsi="Times New Roman" w:eastAsia="Times New Roman"/>
                <w:b w:val="0"/>
                <w:i w:val="0"/>
                <w:sz w:val="18"/>
              </w:rPr>
              <w:t>Independent Subject and Actor</w:t>
            </w:r>
          </w:p>
        </w:tc>
        <w:tc>
          <w:tcPr>
            <w:tcW w:type="dxa" w:w="3854"/>
            <w:vAlign w:val="center"/>
          </w:tcPr>
          <w:p>
            <w:pPr>
              <w:spacing w:after="20" w:before="20"/>
              <w:ind w:firstLine="0"/>
              <w:jc w:val="left"/>
            </w:pPr>
            <w:r>
              <w:rPr>
                <w:rFonts w:ascii="Courier New" w:hAnsi="Courier New" w:eastAsia="Courier New"/>
                <w:b w:val="0"/>
                <w:i w:val="0"/>
                <w:sz w:val="17"/>
              </w:rPr>
              <w:t>sub and act.sub are treated as different identities</w:t>
            </w:r>
            <w:r>
              <w:rPr>
                <w:rFonts w:ascii="Times New Roman" w:hAnsi="Times New Roman" w:eastAsia="Times New Roman"/>
                <w:b w:val="0"/>
                <w:i w:val="0"/>
                <w:sz w:val="18"/>
              </w:rPr>
            </w:r>
            <w:r>
              <w:rPr>
                <w:rFonts w:ascii="Courier New" w:hAnsi="Courier New" w:eastAsia="Courier New"/>
                <w:b w:val="0"/>
                <w:i w:val="0"/>
                <w:sz w:val="17"/>
              </w:rPr>
            </w:r>
            <w:r>
              <w:rPr>
                <w:rFonts w:ascii="Times New Roman" w:hAnsi="Times New Roman" w:eastAsia="Times New Roman"/>
                <w:b w:val="0"/>
                <w:i w:val="0"/>
                <w:sz w:val="18"/>
              </w:rPr>
            </w:r>
          </w:p>
        </w:tc>
        <w:tc>
          <w:tcPr>
            <w:tcW w:type="dxa" w:w="1092"/>
            <w:vAlign w:val="center"/>
          </w:tcPr>
          <w:p>
            <w:pPr>
              <w:spacing w:after="20" w:before="20"/>
              <w:ind w:firstLine="0"/>
              <w:jc w:val="left"/>
            </w:pPr>
            <w:r>
              <w:rPr>
                <w:rFonts w:ascii="Times New Roman" w:hAnsi="Times New Roman" w:eastAsia="Times New Roman"/>
                <w:b w:val="0"/>
                <w:i w:val="0"/>
                <w:sz w:val="18"/>
              </w:rPr>
              <w:t>§3.4</w:t>
            </w:r>
          </w:p>
        </w:tc>
        <w:tc>
          <w:tcPr>
            <w:tcW w:type="dxa" w:w="2377"/>
            <w:vAlign w:val="center"/>
          </w:tcPr>
          <w:p>
            <w:pPr>
              <w:spacing w:after="20" w:before="20"/>
              <w:ind w:firstLine="0"/>
              <w:jc w:val="left"/>
            </w:pPr>
            <w:r>
              <w:rPr>
                <w:rFonts w:ascii="Times New Roman" w:hAnsi="Times New Roman" w:eastAsia="Times New Roman"/>
                <w:b w:val="0"/>
                <w:i w:val="0"/>
                <w:sz w:val="18"/>
              </w:rPr>
              <w:t>T-11, T-12</w:t>
            </w:r>
          </w:p>
        </w:tc>
      </w:tr>
      <w:tr>
        <w:trPr>
          <w:cantSplit/>
        </w:trPr>
        <w:tc>
          <w:tcPr>
            <w:tcW w:type="dxa" w:w="2312"/>
            <w:vAlign w:val="center"/>
          </w:tcPr>
          <w:p>
            <w:pPr>
              <w:spacing w:after="20" w:before="20"/>
              <w:ind w:firstLine="0"/>
              <w:jc w:val="left"/>
            </w:pPr>
            <w:r>
              <w:rPr>
                <w:rFonts w:ascii="Times New Roman" w:hAnsi="Times New Roman" w:eastAsia="Times New Roman"/>
                <w:b w:val="0"/>
                <w:i w:val="0"/>
                <w:sz w:val="18"/>
              </w:rPr>
              <w:t>Subject–Actor delegation</w:t>
            </w:r>
          </w:p>
        </w:tc>
        <w:tc>
          <w:tcPr>
            <w:tcW w:type="dxa" w:w="3854"/>
            <w:vAlign w:val="center"/>
          </w:tcPr>
          <w:p>
            <w:pPr>
              <w:spacing w:after="20" w:before="20"/>
              <w:ind w:firstLine="0"/>
              <w:jc w:val="left"/>
            </w:pPr>
            <w:r>
              <w:rPr>
                <w:rFonts w:ascii="Times New Roman" w:hAnsi="Times New Roman" w:eastAsia="Times New Roman"/>
                <w:b w:val="0"/>
                <w:i w:val="0"/>
                <w:sz w:val="18"/>
              </w:rPr>
              <w:t>separate permitted association in the Platform Store</w:t>
            </w:r>
          </w:p>
        </w:tc>
        <w:tc>
          <w:tcPr>
            <w:tcW w:type="dxa" w:w="1092"/>
            <w:vAlign w:val="center"/>
          </w:tcPr>
          <w:p>
            <w:pPr>
              <w:spacing w:after="20" w:before="20"/>
              <w:ind w:firstLine="0"/>
              <w:jc w:val="left"/>
            </w:pPr>
            <w:r>
              <w:rPr>
                <w:rFonts w:ascii="Times New Roman" w:hAnsi="Times New Roman" w:eastAsia="Times New Roman"/>
                <w:b w:val="0"/>
                <w:i w:val="0"/>
                <w:sz w:val="18"/>
              </w:rPr>
              <w:t>§3.4, §3.5</w:t>
            </w:r>
          </w:p>
        </w:tc>
        <w:tc>
          <w:tcPr>
            <w:tcW w:type="dxa" w:w="2377"/>
            <w:vAlign w:val="center"/>
          </w:tcPr>
          <w:p>
            <w:pPr>
              <w:spacing w:after="20" w:before="20"/>
              <w:ind w:firstLine="0"/>
              <w:jc w:val="left"/>
            </w:pPr>
            <w:r>
              <w:rPr>
                <w:rFonts w:ascii="Times New Roman" w:hAnsi="Times New Roman" w:eastAsia="Times New Roman"/>
                <w:b w:val="0"/>
                <w:i w:val="0"/>
                <w:sz w:val="18"/>
              </w:rPr>
              <w:t>T-12</w:t>
            </w:r>
          </w:p>
        </w:tc>
      </w:tr>
      <w:tr>
        <w:trPr>
          <w:cantSplit/>
        </w:trPr>
        <w:tc>
          <w:tcPr>
            <w:tcW w:type="dxa" w:w="2312"/>
            <w:vAlign w:val="center"/>
          </w:tcPr>
          <w:p>
            <w:pPr>
              <w:spacing w:after="20" w:before="20"/>
              <w:ind w:firstLine="0"/>
              <w:jc w:val="left"/>
            </w:pPr>
            <w:r>
              <w:rPr>
                <w:rFonts w:ascii="Times New Roman" w:hAnsi="Times New Roman" w:eastAsia="Times New Roman"/>
                <w:b w:val="0"/>
                <w:i w:val="0"/>
                <w:sz w:val="18"/>
              </w:rPr>
              <w:t>Actor capability constrained separately</w:t>
            </w:r>
          </w:p>
        </w:tc>
        <w:tc>
          <w:tcPr>
            <w:tcW w:type="dxa" w:w="3854"/>
            <w:vAlign w:val="center"/>
          </w:tcPr>
          <w:p>
            <w:pPr>
              <w:spacing w:after="20" w:before="20"/>
              <w:ind w:firstLine="0"/>
              <w:jc w:val="left"/>
            </w:pPr>
            <w:r>
              <w:rPr>
                <w:rFonts w:ascii="Times New Roman" w:hAnsi="Times New Roman" w:eastAsia="Times New Roman"/>
                <w:b w:val="0"/>
                <w:i w:val="0"/>
                <w:sz w:val="18"/>
              </w:rPr>
              <w:t>JWT scope is checked together with Actor policy limits</w:t>
            </w:r>
          </w:p>
        </w:tc>
        <w:tc>
          <w:tcPr>
            <w:tcW w:type="dxa" w:w="1092"/>
            <w:vAlign w:val="center"/>
          </w:tcPr>
          <w:p>
            <w:pPr>
              <w:spacing w:after="20" w:before="20"/>
              <w:ind w:firstLine="0"/>
              <w:jc w:val="left"/>
            </w:pPr>
            <w:r>
              <w:rPr>
                <w:rFonts w:ascii="Times New Roman" w:hAnsi="Times New Roman" w:eastAsia="Times New Roman"/>
                <w:b w:val="0"/>
                <w:i w:val="0"/>
                <w:sz w:val="18"/>
              </w:rPr>
              <w:t>§3.5</w:t>
            </w:r>
          </w:p>
        </w:tc>
        <w:tc>
          <w:tcPr>
            <w:tcW w:type="dxa" w:w="2377"/>
            <w:vAlign w:val="center"/>
          </w:tcPr>
          <w:p>
            <w:pPr>
              <w:spacing w:after="20" w:before="20"/>
              <w:ind w:firstLine="0"/>
              <w:jc w:val="left"/>
            </w:pPr>
            <w:r>
              <w:rPr>
                <w:rFonts w:ascii="Times New Roman" w:hAnsi="Times New Roman" w:eastAsia="Times New Roman"/>
                <w:b w:val="0"/>
                <w:i w:val="0"/>
                <w:sz w:val="18"/>
              </w:rPr>
              <w:t>T-13, T-14</w:t>
            </w:r>
          </w:p>
        </w:tc>
      </w:tr>
      <w:tr>
        <w:trPr>
          <w:cantSplit/>
        </w:trPr>
        <w:tc>
          <w:tcPr>
            <w:tcW w:type="dxa" w:w="2312"/>
            <w:vAlign w:val="center"/>
          </w:tcPr>
          <w:p>
            <w:pPr>
              <w:spacing w:after="20" w:before="20"/>
              <w:ind w:firstLine="0"/>
              <w:jc w:val="left"/>
            </w:pPr>
            <w:r>
              <w:rPr>
                <w:rFonts w:ascii="Times New Roman" w:hAnsi="Times New Roman" w:eastAsia="Times New Roman"/>
                <w:b w:val="0"/>
                <w:i w:val="0"/>
                <w:sz w:val="18"/>
              </w:rPr>
              <w:t>Deterministic authorization</w:t>
            </w:r>
          </w:p>
        </w:tc>
        <w:tc>
          <w:tcPr>
            <w:tcW w:type="dxa" w:w="3854"/>
            <w:vAlign w:val="center"/>
          </w:tcPr>
          <w:p>
            <w:pPr>
              <w:spacing w:after="20" w:before="20"/>
              <w:ind w:firstLine="0"/>
              <w:jc w:val="left"/>
            </w:pPr>
            <w:r>
              <w:rPr>
                <w:rFonts w:ascii="Times New Roman" w:hAnsi="Times New Roman" w:eastAsia="Times New Roman"/>
                <w:b w:val="0"/>
                <w:i w:val="0"/>
                <w:sz w:val="18"/>
              </w:rPr>
              <w:t>fixed Effective Access order</w:t>
            </w:r>
          </w:p>
        </w:tc>
        <w:tc>
          <w:tcPr>
            <w:tcW w:type="dxa" w:w="1092"/>
            <w:vAlign w:val="center"/>
          </w:tcPr>
          <w:p>
            <w:pPr>
              <w:spacing w:after="20" w:before="20"/>
              <w:ind w:firstLine="0"/>
              <w:jc w:val="left"/>
            </w:pPr>
            <w:r>
              <w:rPr>
                <w:rFonts w:ascii="Times New Roman" w:hAnsi="Times New Roman" w:eastAsia="Times New Roman"/>
                <w:b w:val="0"/>
                <w:i w:val="0"/>
                <w:sz w:val="18"/>
              </w:rPr>
              <w:t>§3.5</w:t>
            </w:r>
          </w:p>
        </w:tc>
        <w:tc>
          <w:tcPr>
            <w:tcW w:type="dxa" w:w="2377"/>
            <w:vAlign w:val="center"/>
          </w:tcPr>
          <w:p>
            <w:pPr>
              <w:spacing w:after="20" w:before="20"/>
              <w:ind w:firstLine="0"/>
              <w:jc w:val="left"/>
            </w:pPr>
            <w:r>
              <w:rPr>
                <w:rFonts w:ascii="Times New Roman" w:hAnsi="Times New Roman" w:eastAsia="Times New Roman"/>
                <w:b w:val="0"/>
                <w:i w:val="0"/>
                <w:sz w:val="18"/>
              </w:rPr>
              <w:t>T-01, T-02, T-04, T-12–T-14</w:t>
            </w:r>
          </w:p>
        </w:tc>
      </w:tr>
      <w:tr>
        <w:trPr>
          <w:cantSplit/>
        </w:trPr>
        <w:tc>
          <w:tcPr>
            <w:tcW w:type="dxa" w:w="2312"/>
            <w:vAlign w:val="center"/>
          </w:tcPr>
          <w:p>
            <w:pPr>
              <w:spacing w:after="20" w:before="20"/>
              <w:ind w:firstLine="0"/>
              <w:jc w:val="left"/>
            </w:pPr>
            <w:r>
              <w:rPr>
                <w:rFonts w:ascii="Times New Roman" w:hAnsi="Times New Roman" w:eastAsia="Times New Roman"/>
                <w:b w:val="0"/>
                <w:i w:val="0"/>
                <w:sz w:val="18"/>
              </w:rPr>
              <w:t>Resource/row/column limits</w:t>
            </w:r>
          </w:p>
        </w:tc>
        <w:tc>
          <w:tcPr>
            <w:tcW w:type="dxa" w:w="3854"/>
            <w:vAlign w:val="center"/>
          </w:tcPr>
          <w:p>
            <w:pPr>
              <w:spacing w:after="20" w:before="20"/>
              <w:ind w:firstLine="0"/>
              <w:jc w:val="left"/>
            </w:pPr>
            <w:r>
              <w:rPr>
                <w:rFonts w:ascii="Times New Roman" w:hAnsi="Times New Roman" w:eastAsia="Times New Roman"/>
                <w:b w:val="0"/>
                <w:i w:val="0"/>
                <w:sz w:val="18"/>
              </w:rPr>
              <w:t>Published Resource, server-side row filtering, fixed projection</w:t>
            </w:r>
          </w:p>
        </w:tc>
        <w:tc>
          <w:tcPr>
            <w:tcW w:type="dxa" w:w="1092"/>
            <w:vAlign w:val="center"/>
          </w:tcPr>
          <w:p>
            <w:pPr>
              <w:spacing w:after="20" w:before="20"/>
              <w:ind w:firstLine="0"/>
              <w:jc w:val="left"/>
            </w:pPr>
            <w:r>
              <w:rPr>
                <w:rFonts w:ascii="Times New Roman" w:hAnsi="Times New Roman" w:eastAsia="Times New Roman"/>
                <w:b w:val="0"/>
                <w:i w:val="0"/>
                <w:sz w:val="18"/>
              </w:rPr>
              <w:t>§3.3, §3.6</w:t>
            </w:r>
          </w:p>
        </w:tc>
        <w:tc>
          <w:tcPr>
            <w:tcW w:type="dxa" w:w="2377"/>
            <w:vAlign w:val="center"/>
          </w:tcPr>
          <w:p>
            <w:pPr>
              <w:spacing w:after="20" w:before="20"/>
              <w:ind w:firstLine="0"/>
              <w:jc w:val="left"/>
            </w:pPr>
            <w:r>
              <w:rPr>
                <w:rFonts w:ascii="Times New Roman" w:hAnsi="Times New Roman" w:eastAsia="Times New Roman"/>
                <w:b w:val="0"/>
                <w:i w:val="0"/>
                <w:sz w:val="18"/>
              </w:rPr>
              <w:t>T-03–T-06, T-16, T-17</w:t>
            </w:r>
          </w:p>
        </w:tc>
      </w:tr>
      <w:tr>
        <w:trPr>
          <w:cantSplit/>
        </w:trPr>
        <w:tc>
          <w:tcPr>
            <w:tcW w:type="dxa" w:w="2312"/>
            <w:vAlign w:val="center"/>
          </w:tcPr>
          <w:p>
            <w:pPr>
              <w:spacing w:after="20" w:before="20"/>
              <w:ind w:firstLine="0"/>
              <w:jc w:val="left"/>
            </w:pPr>
            <w:r>
              <w:rPr>
                <w:rFonts w:ascii="Times New Roman" w:hAnsi="Times New Roman" w:eastAsia="Times New Roman"/>
                <w:b w:val="0"/>
                <w:i w:val="0"/>
                <w:sz w:val="18"/>
              </w:rPr>
              <w:t>Read-only Corporate Data Source</w:t>
            </w:r>
          </w:p>
        </w:tc>
        <w:tc>
          <w:tcPr>
            <w:tcW w:type="dxa" w:w="3854"/>
            <w:vAlign w:val="center"/>
          </w:tcPr>
          <w:p>
            <w:pPr>
              <w:spacing w:after="20" w:before="20"/>
              <w:ind w:firstLine="0"/>
              <w:jc w:val="left"/>
            </w:pPr>
            <w:r>
              <w:rPr>
                <w:rFonts w:ascii="Times New Roman" w:hAnsi="Times New Roman" w:eastAsia="Times New Roman"/>
                <w:b w:val="0"/>
                <w:i w:val="0"/>
                <w:sz w:val="18"/>
              </w:rPr>
              <w:t>runtime identity without write/DDL</w:t>
            </w:r>
          </w:p>
        </w:tc>
        <w:tc>
          <w:tcPr>
            <w:tcW w:type="dxa" w:w="1092"/>
            <w:vAlign w:val="center"/>
          </w:tcPr>
          <w:p>
            <w:pPr>
              <w:spacing w:after="20" w:before="20"/>
              <w:ind w:firstLine="0"/>
              <w:jc w:val="left"/>
            </w:pPr>
            <w:r>
              <w:rPr>
                <w:rFonts w:ascii="Times New Roman" w:hAnsi="Times New Roman" w:eastAsia="Times New Roman"/>
                <w:b w:val="0"/>
                <w:i w:val="0"/>
                <w:sz w:val="18"/>
              </w:rPr>
              <w:t>§3.7</w:t>
            </w:r>
          </w:p>
        </w:tc>
        <w:tc>
          <w:tcPr>
            <w:tcW w:type="dxa" w:w="2377"/>
            <w:vAlign w:val="center"/>
          </w:tcPr>
          <w:p>
            <w:pPr>
              <w:spacing w:after="20" w:before="20"/>
              <w:ind w:firstLine="0"/>
              <w:jc w:val="left"/>
            </w:pPr>
            <w:r>
              <w:rPr>
                <w:rFonts w:ascii="Times New Roman" w:hAnsi="Times New Roman" w:eastAsia="Times New Roman"/>
                <w:b w:val="0"/>
                <w:i w:val="0"/>
                <w:sz w:val="18"/>
              </w:rPr>
              <w:t>T-08</w:t>
            </w:r>
          </w:p>
        </w:tc>
      </w:tr>
      <w:tr>
        <w:trPr>
          <w:cantSplit/>
        </w:trPr>
        <w:tc>
          <w:tcPr>
            <w:tcW w:type="dxa" w:w="2312"/>
            <w:vAlign w:val="center"/>
          </w:tcPr>
          <w:p>
            <w:pPr>
              <w:spacing w:after="20" w:before="20"/>
              <w:ind w:firstLine="0"/>
              <w:jc w:val="left"/>
            </w:pPr>
            <w:r>
              <w:rPr>
                <w:rFonts w:ascii="Times New Roman" w:hAnsi="Times New Roman" w:eastAsia="Times New Roman"/>
                <w:b w:val="0"/>
                <w:i w:val="0"/>
                <w:sz w:val="18"/>
              </w:rPr>
              <w:t>DB-level least privilege</w:t>
            </w:r>
          </w:p>
        </w:tc>
        <w:tc>
          <w:tcPr>
            <w:tcW w:type="dxa" w:w="3854"/>
            <w:vAlign w:val="center"/>
          </w:tcPr>
          <w:p>
            <w:pPr>
              <w:spacing w:after="20" w:before="20"/>
              <w:ind w:firstLine="0"/>
              <w:jc w:val="left"/>
            </w:pPr>
            <w:r>
              <w:rPr>
                <w:rFonts w:ascii="Times New Roman" w:hAnsi="Times New Roman" w:eastAsia="Times New Roman"/>
                <w:b w:val="0"/>
                <w:i w:val="0"/>
                <w:sz w:val="18"/>
              </w:rPr>
              <w:t>restricted representation + no base-table access</w:t>
            </w:r>
          </w:p>
        </w:tc>
        <w:tc>
          <w:tcPr>
            <w:tcW w:type="dxa" w:w="1092"/>
            <w:vAlign w:val="center"/>
          </w:tcPr>
          <w:p>
            <w:pPr>
              <w:spacing w:after="20" w:before="20"/>
              <w:ind w:firstLine="0"/>
              <w:jc w:val="left"/>
            </w:pPr>
            <w:r>
              <w:rPr>
                <w:rFonts w:ascii="Times New Roman" w:hAnsi="Times New Roman" w:eastAsia="Times New Roman"/>
                <w:b w:val="0"/>
                <w:i w:val="0"/>
                <w:sz w:val="18"/>
              </w:rPr>
              <w:t>§3.7</w:t>
            </w:r>
          </w:p>
        </w:tc>
        <w:tc>
          <w:tcPr>
            <w:tcW w:type="dxa" w:w="2377"/>
            <w:vAlign w:val="center"/>
          </w:tcPr>
          <w:p>
            <w:pPr>
              <w:spacing w:after="20" w:before="20"/>
              <w:ind w:firstLine="0"/>
              <w:jc w:val="left"/>
            </w:pPr>
            <w:r>
              <w:rPr>
                <w:rFonts w:ascii="Times New Roman" w:hAnsi="Times New Roman" w:eastAsia="Times New Roman"/>
                <w:b w:val="0"/>
                <w:i w:val="0"/>
                <w:sz w:val="18"/>
              </w:rPr>
              <w:t>T-07, T-08</w:t>
            </w:r>
          </w:p>
        </w:tc>
      </w:tr>
      <w:tr>
        <w:trPr>
          <w:cantSplit/>
        </w:trPr>
        <w:tc>
          <w:tcPr>
            <w:tcW w:type="dxa" w:w="2312"/>
            <w:vAlign w:val="center"/>
          </w:tcPr>
          <w:p>
            <w:pPr>
              <w:spacing w:after="20" w:before="20"/>
              <w:ind w:firstLine="0"/>
              <w:jc w:val="left"/>
            </w:pPr>
            <w:r>
              <w:rPr>
                <w:rFonts w:ascii="Times New Roman" w:hAnsi="Times New Roman" w:eastAsia="Times New Roman"/>
                <w:b w:val="0"/>
                <w:i w:val="0"/>
                <w:sz w:val="18"/>
              </w:rPr>
              <w:t>Mandatory ALLOW/DENY audit</w:t>
            </w:r>
          </w:p>
        </w:tc>
        <w:tc>
          <w:tcPr>
            <w:tcW w:type="dxa" w:w="3854"/>
            <w:vAlign w:val="center"/>
          </w:tcPr>
          <w:p>
            <w:pPr>
              <w:spacing w:after="20" w:before="20"/>
              <w:ind w:firstLine="0"/>
              <w:jc w:val="left"/>
            </w:pPr>
            <w:r>
              <w:rPr>
                <w:rFonts w:ascii="Times New Roman" w:hAnsi="Times New Roman" w:eastAsia="Times New Roman"/>
                <w:b w:val="0"/>
                <w:i w:val="0"/>
                <w:sz w:val="18"/>
              </w:rPr>
              <w:t>audit before final result release</w:t>
            </w:r>
          </w:p>
        </w:tc>
        <w:tc>
          <w:tcPr>
            <w:tcW w:type="dxa" w:w="1092"/>
            <w:vAlign w:val="center"/>
          </w:tcPr>
          <w:p>
            <w:pPr>
              <w:spacing w:after="20" w:before="20"/>
              <w:ind w:firstLine="0"/>
              <w:jc w:val="left"/>
            </w:pPr>
            <w:r>
              <w:rPr>
                <w:rFonts w:ascii="Times New Roman" w:hAnsi="Times New Roman" w:eastAsia="Times New Roman"/>
                <w:b w:val="0"/>
                <w:i w:val="0"/>
                <w:sz w:val="18"/>
              </w:rPr>
              <w:t>§3.8</w:t>
            </w:r>
          </w:p>
        </w:tc>
        <w:tc>
          <w:tcPr>
            <w:tcW w:type="dxa" w:w="2377"/>
            <w:vAlign w:val="center"/>
          </w:tcPr>
          <w:p>
            <w:pPr>
              <w:spacing w:after="20" w:before="20"/>
              <w:ind w:firstLine="0"/>
              <w:jc w:val="left"/>
            </w:pPr>
            <w:r>
              <w:rPr>
                <w:rFonts w:ascii="Times New Roman" w:hAnsi="Times New Roman" w:eastAsia="Times New Roman"/>
                <w:b w:val="0"/>
                <w:i w:val="0"/>
                <w:sz w:val="18"/>
              </w:rPr>
              <w:t>T-20, T-23</w:t>
            </w:r>
          </w:p>
        </w:tc>
      </w:tr>
      <w:tr>
        <w:trPr>
          <w:cantSplit/>
        </w:trPr>
        <w:tc>
          <w:tcPr>
            <w:tcW w:type="dxa" w:w="2312"/>
            <w:vAlign w:val="center"/>
          </w:tcPr>
          <w:p>
            <w:pPr>
              <w:spacing w:after="20" w:before="20"/>
              <w:ind w:firstLine="0"/>
              <w:jc w:val="left"/>
            </w:pPr>
            <w:r>
              <w:rPr>
                <w:rFonts w:ascii="Times New Roman" w:hAnsi="Times New Roman" w:eastAsia="Times New Roman"/>
                <w:b w:val="0"/>
                <w:i w:val="0"/>
                <w:sz w:val="18"/>
              </w:rPr>
              <w:t>Distinguishable failure classes</w:t>
            </w:r>
          </w:p>
        </w:tc>
        <w:tc>
          <w:tcPr>
            <w:tcW w:type="dxa" w:w="3854"/>
            <w:vAlign w:val="center"/>
          </w:tcPr>
          <w:p>
            <w:pPr>
              <w:spacing w:after="20" w:before="20"/>
              <w:ind w:firstLine="0"/>
              <w:jc w:val="left"/>
            </w:pPr>
            <w:r>
              <w:rPr>
                <w:rFonts w:ascii="Times New Roman" w:hAnsi="Times New Roman" w:eastAsia="Times New Roman"/>
                <w:b w:val="0"/>
                <w:i w:val="0"/>
                <w:sz w:val="18"/>
              </w:rPr>
              <w:t>single machine-readable error contract</w:t>
            </w:r>
          </w:p>
        </w:tc>
        <w:tc>
          <w:tcPr>
            <w:tcW w:type="dxa" w:w="1092"/>
            <w:vAlign w:val="center"/>
          </w:tcPr>
          <w:p>
            <w:pPr>
              <w:spacing w:after="20" w:before="20"/>
              <w:ind w:firstLine="0"/>
              <w:jc w:val="left"/>
            </w:pPr>
            <w:r>
              <w:rPr>
                <w:rFonts w:ascii="Times New Roman" w:hAnsi="Times New Roman" w:eastAsia="Times New Roman"/>
                <w:b w:val="0"/>
                <w:i w:val="0"/>
                <w:sz w:val="18"/>
              </w:rPr>
              <w:t>§3.9</w:t>
            </w:r>
          </w:p>
        </w:tc>
        <w:tc>
          <w:tcPr>
            <w:tcW w:type="dxa" w:w="2377"/>
            <w:vAlign w:val="center"/>
          </w:tcPr>
          <w:p>
            <w:pPr>
              <w:spacing w:after="20" w:before="20"/>
              <w:ind w:firstLine="0"/>
              <w:jc w:val="left"/>
            </w:pPr>
            <w:r>
              <w:rPr>
                <w:rFonts w:ascii="Times New Roman" w:hAnsi="Times New Roman" w:eastAsia="Times New Roman"/>
                <w:b w:val="0"/>
                <w:i w:val="0"/>
                <w:sz w:val="18"/>
              </w:rPr>
              <w:t>T-09–T-21</w:t>
            </w:r>
          </w:p>
        </w:tc>
      </w:tr>
      <w:tr>
        <w:trPr>
          <w:cantSplit/>
        </w:trPr>
        <w:tc>
          <w:tcPr>
            <w:tcW w:type="dxa" w:w="2312"/>
            <w:vAlign w:val="center"/>
          </w:tcPr>
          <w:p>
            <w:pPr>
              <w:spacing w:after="20" w:before="20"/>
              <w:ind w:firstLine="0"/>
              <w:jc w:val="left"/>
            </w:pPr>
            <w:r>
              <w:rPr>
                <w:rFonts w:ascii="Times New Roman" w:hAnsi="Times New Roman" w:eastAsia="Times New Roman"/>
                <w:b w:val="0"/>
                <w:i w:val="0"/>
                <w:sz w:val="18"/>
              </w:rPr>
              <w:t>Self-hosted and reproducible</w:t>
            </w:r>
          </w:p>
        </w:tc>
        <w:tc>
          <w:tcPr>
            <w:tcW w:type="dxa" w:w="3854"/>
            <w:vAlign w:val="center"/>
          </w:tcPr>
          <w:p>
            <w:pPr>
              <w:spacing w:after="20" w:before="20"/>
              <w:ind w:firstLine="0"/>
              <w:jc w:val="left"/>
            </w:pPr>
            <w:r>
              <w:rPr>
                <w:rFonts w:ascii="Times New Roman" w:hAnsi="Times New Roman" w:eastAsia="Times New Roman"/>
                <w:b w:val="0"/>
                <w:i w:val="0"/>
                <w:sz w:val="18"/>
              </w:rPr>
              <w:t>documented startup + idempotent bootstrap + persistence</w:t>
            </w:r>
          </w:p>
        </w:tc>
        <w:tc>
          <w:tcPr>
            <w:tcW w:type="dxa" w:w="1092"/>
            <w:vAlign w:val="center"/>
          </w:tcPr>
          <w:p>
            <w:pPr>
              <w:spacing w:after="20" w:before="20"/>
              <w:ind w:firstLine="0"/>
              <w:jc w:val="left"/>
            </w:pPr>
            <w:r>
              <w:rPr>
                <w:rFonts w:ascii="Times New Roman" w:hAnsi="Times New Roman" w:eastAsia="Times New Roman"/>
                <w:b w:val="0"/>
                <w:i w:val="0"/>
                <w:sz w:val="18"/>
              </w:rPr>
              <w:t>§3.10, §3.13</w:t>
            </w:r>
          </w:p>
        </w:tc>
        <w:tc>
          <w:tcPr>
            <w:tcW w:type="dxa" w:w="2377"/>
            <w:vAlign w:val="center"/>
          </w:tcPr>
          <w:p>
            <w:pPr>
              <w:spacing w:after="20" w:before="20"/>
              <w:ind w:firstLine="0"/>
              <w:jc w:val="left"/>
            </w:pPr>
            <w:r>
              <w:rPr>
                <w:rFonts w:ascii="Times New Roman" w:hAnsi="Times New Roman" w:eastAsia="Times New Roman"/>
                <w:b w:val="0"/>
                <w:i w:val="0"/>
                <w:sz w:val="18"/>
              </w:rPr>
              <w:t>T-24–T-27</w:t>
            </w:r>
          </w:p>
        </w:tc>
      </w:tr>
    </w:tbl>
    <w:p>
      <w:pPr>
        <w:spacing w:after="20"/>
        <w:ind w:firstLine="0"/>
      </w:pPr>
    </w:p>
    <w:p>
      <w:pPr>
        <w:pStyle w:val="PZCaption"/>
        <w:ind w:firstLine="0"/>
        <w:jc w:val="left"/>
      </w:pPr>
      <w:r>
        <w:rPr>
          <w:rFonts w:ascii="Times New Roman" w:hAnsi="Times New Roman" w:eastAsia="Times New Roman"/>
          <w:b w:val="0"/>
          <w:i w:val="0"/>
          <w:sz w:val="21"/>
        </w:rPr>
        <w:t>The table does not replace the acceptance suite in the Technical Requirements. It shows which part of the engineering hypothesis is demonstrated by each architectural component.</w:t>
      </w:r>
    </w:p>
    <w:p>
      <w:pPr>
        <w:pStyle w:val="PZHeading2"/>
        <w:ind w:firstLine="0"/>
      </w:pPr>
      <w:r>
        <w:rPr>
          <w:rFonts w:ascii="Times New Roman" w:hAnsi="Times New Roman" w:eastAsia="Times New Roman"/>
          <w:b/>
          <w:i w:val="0"/>
          <w:sz w:val="26"/>
        </w:rPr>
        <w:t>3.2. Software and information environment</w:t>
      </w:r>
    </w:p>
    <w:p>
      <w:r>
        <w:rPr>
          <w:rFonts w:ascii="Times New Roman" w:hAnsi="Times New Roman" w:eastAsia="Times New Roman"/>
          <w:b w:val="0"/>
          <w:i w:val="0"/>
          <w:sz w:val="24"/>
        </w:rPr>
        <w:t>The environment consists of the Subject, Actor, PDG, Platform Store, and Corporate Data Source.</w:t>
      </w:r>
    </w:p>
    <w:p>
      <w:r>
        <w:rPr>
          <w:rFonts w:ascii="Times New Roman" w:hAnsi="Times New Roman" w:eastAsia="Times New Roman"/>
          <w:b w:val="0"/>
          <w:i w:val="0"/>
          <w:sz w:val="24"/>
        </w:rPr>
        <w:t>Subject is the user security context. Actor is a separate software principal that actually performs the request. Even if both identities are represented in one token, they are not merged into a single trust axis: the software Actor may have narrower authority than the user on whose behalf it acts.</w:t>
      </w:r>
    </w:p>
    <w:p>
      <w:r>
        <w:rPr>
          <w:rFonts w:ascii="Times New Roman" w:hAnsi="Times New Roman" w:eastAsia="Times New Roman"/>
          <w:b w:val="0"/>
          <w:i w:val="0"/>
          <w:sz w:val="24"/>
        </w:rPr>
        <w:t>Before JWT validation is complete, the incoming token is untrusted input. Published Resource parameters are also treated as untrusted data and must not directly determine the structure of the database query being executed.</w:t>
      </w:r>
    </w:p>
    <w:p>
      <w:r>
        <w:rPr>
          <w:rFonts w:ascii="Times New Roman" w:hAnsi="Times New Roman" w:eastAsia="Times New Roman"/>
          <w:b w:val="0"/>
          <w:i w:val="0"/>
          <w:sz w:val="24"/>
        </w:rPr>
        <w:t>The Platform Store contains state owned by PDG: Subject permissions, Actor policy limits, Subject-Actor delegations, Published Resource definitions, policy/configuration, and audit. The Corporate Data Source contains business data and has an independent lifecycle.</w:t>
      </w:r>
    </w:p>
    <w:p>
      <w:pPr>
        <w:keepNext/>
        <w:spacing w:before="100" w:after="40"/>
        <w:ind w:firstLine="0"/>
        <w:jc w:val="center"/>
      </w:pPr>
      <w:r>
        <w:drawing>
          <wp:inline xmlns:a="http://schemas.openxmlformats.org/drawingml/2006/main" xmlns:pic="http://schemas.openxmlformats.org/drawingml/2006/picture">
            <wp:extent cx="5580000" cy="682776"/>
            <wp:docPr id="2" name="Picture 2"/>
            <wp:cNvGraphicFramePr>
              <a:graphicFrameLocks noChangeAspect="1"/>
            </wp:cNvGraphicFramePr>
            <a:graphic>
              <a:graphicData uri="http://schemas.openxmlformats.org/drawingml/2006/picture">
                <pic:pic>
                  <pic:nvPicPr>
                    <pic:cNvPr id="0" name="fig_2.png"/>
                    <pic:cNvPicPr/>
                  </pic:nvPicPr>
                  <pic:blipFill>
                    <a:blip r:embed="rId12"/>
                    <a:stretch>
                      <a:fillRect/>
                    </a:stretch>
                  </pic:blipFill>
                  <pic:spPr>
                    <a:xfrm>
                      <a:off x="0" y="0"/>
                      <a:ext cx="5580000" cy="682776"/>
                    </a:xfrm>
                    <a:prstGeom prst="rect"/>
                  </pic:spPr>
                </pic:pic>
              </a:graphicData>
            </a:graphic>
          </wp:inline>
        </w:drawing>
      </w:r>
    </w:p>
    <w:p>
      <w:pPr>
        <w:pStyle w:val="PZCaption"/>
        <w:ind w:firstLine="0"/>
        <w:jc w:val="left"/>
      </w:pPr>
      <w:r>
        <w:rPr>
          <w:rFonts w:ascii="Times New Roman" w:hAnsi="Times New Roman" w:eastAsia="Times New Roman"/>
          <w:b/>
          <w:i w:val="0"/>
          <w:sz w:val="21"/>
        </w:rPr>
        <w:t>Figure 3.1 - Main elements of the PDG environment</w:t>
      </w:r>
    </w:p>
    <w:p>
      <w:r>
        <w:rPr>
          <w:rFonts w:ascii="Times New Roman" w:hAnsi="Times New Roman" w:eastAsia="Times New Roman"/>
          <w:b w:val="0"/>
          <w:i w:val="0"/>
          <w:sz w:val="24"/>
        </w:rPr>
        <w:t>The two stores are separated for four reasons. First, the corporate database exists independently of PDG and does not belong to the gateway. Second, the stores require different credentials and different privilege sets. Third, policy/audit and corporate data have different lifecycles. Fourth, PDG must not turn the Platform Store into a secondary copy or cache of corporate responses.</w:t>
      </w:r>
    </w:p>
    <w:p>
      <w:r>
        <w:rPr>
          <w:rFonts w:ascii="Times New Roman" w:hAnsi="Times New Roman" w:eastAsia="Times New Roman"/>
          <w:b w:val="0"/>
          <w:i w:val="0"/>
          <w:sz w:val="24"/>
        </w:rPr>
        <w:t>In the demonstration environment both storage roles may use PostgreSQL, but they are two different data stores with separate credentials and purposes. The Technical Requirements do not require future variants to use two identical DBMSs or two particular containers.</w:t>
      </w:r>
      <w:r>
        <w:rPr>
          <w:rFonts w:ascii="Times New Roman" w:hAnsi="Times New Roman" w:eastAsia="Times New Roman"/>
          <w:b/>
          <w:i w:val="0"/>
          <w:sz w:val="24"/>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3.3. Published Resource and organization of input/output data</w:t>
      </w:r>
    </w:p>
    <w:p>
      <w:pPr>
        <w:pStyle w:val="PZHeading3"/>
        <w:ind w:firstLine="0"/>
      </w:pPr>
      <w:r>
        <w:rPr>
          <w:rFonts w:ascii="Times New Roman" w:hAnsi="Times New Roman" w:eastAsia="Times New Roman"/>
          <w:b/>
          <w:i w:val="0"/>
          <w:sz w:val="24"/>
        </w:rPr>
        <w:t>3.3.1. Access methods considered</w:t>
      </w:r>
    </w:p>
    <w:p>
      <w:r>
        <w:rPr>
          <w:rFonts w:ascii="Times New Roman" w:hAnsi="Times New Roman" w:eastAsia="Times New Roman"/>
          <w:b w:val="0"/>
          <w:i w:val="0"/>
          <w:sz w:val="24"/>
        </w:rPr>
        <w:t>At least three classes of interface are fundamentally possible for connecting an Actor to a corporate database.</w:t>
      </w:r>
    </w:p>
    <w:p>
      <w:r>
        <w:rPr>
          <w:rFonts w:ascii="Times New Roman" w:hAnsi="Times New Roman" w:eastAsia="Times New Roman"/>
          <w:b/>
          <w:i w:val="0"/>
          <w:sz w:val="24"/>
        </w:rPr>
        <w:t>Direct SQL. The Actor constructs SQL and sends it for execution. Advantage: universality. Disadvantage: the SQL language itself becomes part of the untrusted surface, and security depends on analyzing and constraining arbitrary query structure.</w:t>
      </w:r>
      <w:r>
        <w:rPr>
          <w:rFonts w:ascii="Times New Roman" w:hAnsi="Times New Roman" w:eastAsia="Times New Roman"/>
          <w:b w:val="0"/>
          <w:i w:val="0"/>
          <w:sz w:val="24"/>
        </w:rPr>
      </w:r>
    </w:p>
    <w:p>
      <w:r>
        <w:rPr>
          <w:rFonts w:ascii="Times New Roman" w:hAnsi="Times New Roman" w:eastAsia="Times New Roman"/>
          <w:b/>
          <w:i w:val="0"/>
          <w:sz w:val="24"/>
        </w:rPr>
        <w:t>Universal database tools. The Actor calls structured operations such as "choose table/columns/filter." The surface is narrower than raw SQL, but the physical schema remains visible to the Actor and the number of possible combinations is much larger than the business contract requires.</w:t>
      </w:r>
      <w:r>
        <w:rPr>
          <w:rFonts w:ascii="Times New Roman" w:hAnsi="Times New Roman" w:eastAsia="Times New Roman"/>
          <w:b w:val="0"/>
          <w:i w:val="0"/>
          <w:sz w:val="24"/>
        </w:rPr>
      </w:r>
    </w:p>
    <w:p>
      <w:r>
        <w:rPr>
          <w:rFonts w:ascii="Times New Roman" w:hAnsi="Times New Roman" w:eastAsia="Times New Roman"/>
          <w:b/>
          <w:i w:val="0"/>
          <w:sz w:val="24"/>
        </w:rPr>
        <w:t>Published Resource. The Actor selects only a predefined published function and its bounded parameters. SQL, tables, views, columns, joins, and query structure remain inside the trusted implementation.</w:t>
      </w:r>
      <w:r>
        <w:rPr>
          <w:rFonts w:ascii="Times New Roman" w:hAnsi="Times New Roman" w:eastAsia="Times New Roman"/>
          <w:b w:val="0"/>
          <w:i w:val="0"/>
          <w:sz w:val="24"/>
        </w:rPr>
      </w:r>
    </w:p>
    <w:p>
      <w:r>
        <w:rPr>
          <w:rFonts w:ascii="Times New Roman" w:hAnsi="Times New Roman" w:eastAsia="Times New Roman"/>
          <w:b w:val="0"/>
          <w:i w:val="0"/>
          <w:sz w:val="24"/>
        </w:rPr>
        <w:t>The third option is selected for v0.1 because the Preliminary Design objective is not universal database access but proof of a minimal controllable surface.</w:t>
      </w:r>
    </w:p>
    <w:p>
      <w:pPr>
        <w:pStyle w:val="PZHeading3"/>
        <w:ind w:firstLine="0"/>
      </w:pPr>
      <w:r>
        <w:rPr>
          <w:rFonts w:ascii="Times New Roman" w:hAnsi="Times New Roman" w:eastAsia="Times New Roman"/>
          <w:b/>
          <w:i w:val="0"/>
          <w:sz w:val="24"/>
        </w:rPr>
        <w:t>3.3.2. Input contract</w:t>
      </w:r>
    </w:p>
    <w:p>
      <w:r>
        <w:rPr>
          <w:rFonts w:ascii="Times New Roman" w:hAnsi="Times New Roman" w:eastAsia="Times New Roman"/>
          <w:b w:val="0"/>
          <w:i w:val="0"/>
          <w:sz w:val="24"/>
        </w:rPr>
        <w:t>The minimal protected API has two calls:</w:t>
      </w:r>
    </w:p>
    <w:p>
      <w:r>
        <w:rPr>
          <w:rFonts w:ascii="Courier New" w:hAnsi="Courier New" w:eastAsia="Courier New"/>
          <w:b w:val="0"/>
          <w:i w:val="0"/>
          <w:sz w:val="23"/>
        </w:rPr>
        <w:t>GET /api/resources/SalesSummary</w:t>
      </w:r>
    </w:p>
    <w:p>
      <w:r>
        <w:rPr>
          <w:rFonts w:ascii="Courier New" w:hAnsi="Courier New" w:eastAsia="Courier New"/>
          <w:b w:val="0"/>
          <w:i w:val="0"/>
          <w:sz w:val="23"/>
        </w:rPr>
        <w:t>GET /api/resources/SalesSummary?country=&lt;value&gt;</w:t>
      </w:r>
    </w:p>
    <w:p>
      <w:r>
        <w:rPr>
          <w:rFonts w:ascii="Times New Roman" w:hAnsi="Times New Roman" w:eastAsia="Times New Roman"/>
          <w:b w:val="0"/>
          <w:i w:val="0"/>
          <w:sz w:val="24"/>
        </w:rPr>
        <w:t>The header carries Authorization: Bearer &lt;JWT&gt;.</w:t>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The country parameter is the only application query parameter in v0.1. An unknown parameter violates the contract and results in 400 / invalid_request. The parameter value is treated only as data and is passed through parameter/data binding or an equivalent safe mechanism; an untrusted string is not concatenated into executable SQL and cannot change query structure.</w:t>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If country is absent, this does not mean "request all countries." It means "apply the Subject's entire permitted row scope on the server." If country is explicitly specified, the requested scope must be a subset of the allowed scope; otherwise the request is denied with 403 / access_denied.</w:t>
      </w:r>
      <w:r>
        <w:rPr>
          <w:rFonts w:ascii="Courier New" w:hAnsi="Courier New" w:eastAsia="Courier New"/>
          <w:b w:val="0"/>
          <w:i w:val="0"/>
          <w:sz w:val="23"/>
        </w:rPr>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pStyle w:val="PZHeading3"/>
        <w:ind w:firstLine="0"/>
      </w:pPr>
      <w:r>
        <w:rPr>
          <w:rFonts w:ascii="Times New Roman" w:hAnsi="Times New Roman" w:eastAsia="Times New Roman"/>
          <w:b/>
          <w:i w:val="0"/>
          <w:sz w:val="24"/>
        </w:rPr>
        <w:t>3.3.3. Output contract</w:t>
      </w:r>
    </w:p>
    <w:p>
      <w:r>
        <w:rPr>
          <w:rFonts w:ascii="Times New Roman" w:hAnsi="Times New Roman" w:eastAsia="Times New Roman"/>
          <w:b w:val="0"/>
          <w:i w:val="0"/>
          <w:sz w:val="24"/>
        </w:rPr>
        <w:t>The output column set is fixed by the Published Resource and is not controlled by the Actor. Column projection is performed by the server. The SalesSummary result therefore contains none of the PII-like columns excluded by the Technical Requirements.</w:t>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In this Explanatory Note, Country is defined as an element of the SalesSummary business contract, not as the name of a specific physical Chinook column. The source schema contains at least two semantically distinct candidates for that mapping: customer country and invoice billing country. The physical mapping must be selected deliberately in the accepted demo implementation after the resource semantics are fixed, and must not change the Actor-facing contract.</w:t>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A server-side result limit applies to the number of rows. The Actor cannot disable, change, or increase it. This Explanatory Note does not invent a numeric value; it must be fixed in the accepted demo configuration before acceptance testing. Exceeding the limit results in 400 / result_limit_exceeded; silent truncation is prohibited.</w:t>
      </w:r>
      <w:r>
        <w:rPr>
          <w:rFonts w:ascii="Courier New" w:hAnsi="Courier New" w:eastAsia="Courier New"/>
          <w:b w:val="0"/>
          <w:i w:val="0"/>
          <w:sz w:val="23"/>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3.4. Authentication and delegated identity</w:t>
      </w:r>
    </w:p>
    <w:p>
      <w:r>
        <w:rPr>
          <w:rFonts w:ascii="Times New Roman" w:hAnsi="Times New Roman" w:eastAsia="Times New Roman"/>
          <w:b w:val="0"/>
          <w:i w:val="0"/>
          <w:sz w:val="24"/>
        </w:rPr>
        <w:t>A protected resource uses signed JWT Bearer authentication. PDG validates signature, iss, aud, and exp; sub, act.sub, and scope are then extracted.</w:t>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The structure below illustrates claim semantics only; issuer, audience, and timestamp values are not standardized by this Explanatory Note.</w:t>
      </w:r>
    </w:p>
    <w:p>
      <w:pPr>
        <w:pStyle w:val="PZCode"/>
        <w:ind w:left="170" w:right="113" w:firstLine="0"/>
        <w:shd w:fill="F2F2F2"/>
      </w:pPr>
      <w:r>
        <w:rPr>
          <w:rFonts w:ascii="Courier New" w:hAnsi="Courier New" w:eastAsia="Courier New"/>
          <w:sz w:val="17"/>
        </w:rPr>
        <w:t>{</w:t>
        <w:br/>
        <w:t xml:space="preserve">  "iss": "&lt;trusted-issuer&gt;",</w:t>
        <w:br/>
        <w:t xml:space="preserve">  "aud": "&lt;pdg-audience&gt;",</w:t>
        <w:br/>
        <w:t xml:space="preserve">  "exp": "&lt;expiration&gt;",</w:t>
        <w:br/>
        <w:t xml:space="preserve">  "sub": "&lt;subject-id&gt;",</w:t>
        <w:br/>
        <w:t xml:space="preserve">  "act": { "sub": "&lt;actor-id&gt;" },</w:t>
        <w:br/>
        <w:t xml:space="preserve">  "scope": "sales.read"</w:t>
        <w:br/>
        <w:t>}</w:t>
      </w:r>
    </w:p>
    <w:p>
      <w:r>
        <w:rPr>
          <w:rFonts w:ascii="Courier New" w:hAnsi="Courier New" w:eastAsia="Courier New"/>
          <w:b w:val="0"/>
          <w:i w:val="0"/>
          <w:sz w:val="23"/>
        </w:rPr>
        <w:t>sub identifies the Subject. SalesManagerEurope, GlobalAnalyst, or SupportAgent is not the value of sub; it is authorization state obtained from the Platform Store. act.sub identifies the Actor, for example the demo Actor sales_copilot_v1.</w:t>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The semantics of act are modeled after RFC 8693 [3], but the full Token Exchange flow is not implemented in v0.1. This is deliberate: Proof of Feasibility must verify correct use of two identities and delegation, not build its own production Identity Provider.</w:t>
      </w:r>
      <w:r>
        <w:rPr>
          <w:rFonts w:ascii="Courier New" w:hAnsi="Courier New" w:eastAsia="Courier New"/>
          <w:b w:val="0"/>
          <w:i w:val="0"/>
          <w:sz w:val="23"/>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p>
    <w:p>
      <w:r>
        <w:rPr>
          <w:rFonts w:ascii="Times New Roman" w:hAnsi="Times New Roman" w:eastAsia="Times New Roman"/>
          <w:b w:val="0"/>
          <w:i w:val="0"/>
          <w:sz w:val="24"/>
        </w:rPr>
        <w:t>A normal successful request must contain a valid act.sub. Missing/invalid act.sub is the specifically tested negative scenario T-11 and results in 401 / authentication_failed. Subject-only fallback is prohibited.</w:t>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A test issuer is allowed only for demo/test. Real operation requires trusted external token issuance. Signing keys and other secrets must not be hardcoded or published as plaintext.</w:t>
      </w:r>
    </w:p>
    <w:p>
      <w:pPr>
        <w:pStyle w:val="PZHeading2"/>
        <w:ind w:firstLine="0"/>
      </w:pPr>
      <w:r>
        <w:rPr>
          <w:rFonts w:ascii="Times New Roman" w:hAnsi="Times New Roman" w:eastAsia="Times New Roman"/>
          <w:b/>
          <w:i w:val="0"/>
          <w:sz w:val="26"/>
        </w:rPr>
        <w:t>3.5. Effective Access algorithm</w:t>
      </w:r>
    </w:p>
    <w:p>
      <w:r>
        <w:rPr>
          <w:rFonts w:ascii="Times New Roman" w:hAnsi="Times New Roman" w:eastAsia="Times New Roman"/>
          <w:b w:val="0"/>
          <w:i w:val="0"/>
          <w:sz w:val="24"/>
        </w:rPr>
        <w:t>Authorization is built not as a single role check, but as sequential narrowing of authority. The logical order must follow the Technical Requirements: first validate the input identity, then delegation, Actor limits, Subject permissions, resource constraints, and requested scope; the protected database is not read before ALLOW when its content is not required for the decision. Loading mandatory policy state from the Platform Store is shown in the pseudocode as an infrastructure prerequisite and does not alter the relative order of authorization checks in §4.1.6 of the Technical Requirements.</w:t>
      </w:r>
    </w:p>
    <w:p>
      <w:pPr>
        <w:pStyle w:val="PZCode"/>
        <w:ind w:left="170" w:right="113" w:firstLine="0"/>
        <w:shd w:fill="F2F2F2"/>
      </w:pPr>
      <w:r>
        <w:rPr>
          <w:rFonts w:ascii="Courier New" w:hAnsi="Courier New" w:eastAsia="Courier New"/>
          <w:sz w:val="17"/>
        </w:rPr>
        <w:t>INPUT: bearerToken, requestedResource, requestedParameters</w:t>
        <w:br/>
        <w:br/>
        <w:t>1. Validate JWT signature, iss, aud, exp.</w:t>
        <w:br/>
        <w:t xml:space="preserve">   If invalid -&gt; 401 authentication_failed.</w:t>
        <w:br/>
        <w:br/>
        <w:t>2. Extract and validate sub.</w:t>
        <w:br/>
        <w:t xml:space="preserve">   If missing/invalid -&gt; 401 authentication_failed.</w:t>
        <w:br/>
        <w:br/>
        <w:t>3. Extract and validate act.sub.</w:t>
        <w:br/>
        <w:t xml:space="preserve">   If missing/invalid -&gt; 401 authentication_failed.</w:t>
        <w:br/>
        <w:br/>
        <w:t>4. Load mandatory policy state required for the decision.</w:t>
        <w:br/>
        <w:t xml:space="preserve">   If Platform Store unavailable -&gt; 503 platform_store_unavailable.</w:t>
        <w:br/>
        <w:t xml:space="preserve">   If mandatory policy/config is malformed -&gt; 500 internal_error.</w:t>
        <w:br/>
        <w:br/>
        <w:t>5. Verify Subject-Actor delegation.</w:t>
        <w:br/>
        <w:t xml:space="preserve">   If not permitted -&gt; logical DENY; do not read Corporate Data Source.</w:t>
        <w:br/>
        <w:br/>
        <w:t>6. Extract capability from validated JWT scope.</w:t>
        <w:br/>
        <w:t xml:space="preserve">   Verify Actor policy limits.</w:t>
        <w:br/>
        <w:t xml:space="preserve">   If capability is absent/disallowed -&gt; logical DENY; do not read Corporate Data Source.</w:t>
        <w:br/>
        <w:br/>
        <w:t>7. Verify Subject permissions.</w:t>
        <w:br/>
        <w:t xml:space="preserve">   If not permitted -&gt; logical DENY; do not read Corporate Data Source.</w:t>
        <w:br/>
        <w:br/>
        <w:t>8. Resolve the requested Published Resource and perform resource-level authorization.</w:t>
        <w:br/>
        <w:t xml:space="preserve">   Unknown resource -&gt; 404 resource_not_found.</w:t>
        <w:br/>
        <w:t xml:space="preserve">   If Subject/Actor is not permitted to use the resource -&gt; logical DENY.</w:t>
        <w:br/>
        <w:br/>
        <w:t>9. Verify the required capability of the Published Resource.</w:t>
        <w:br/>
        <w:t xml:space="preserve">   If the validated JWT scope, Actor policy limits or Subject permissions do not permit it</w:t>
        <w:br/>
        <w:t xml:space="preserve">   -&gt; logical DENY.</w:t>
        <w:br/>
        <w:br/>
        <w:t>10. Form Effective Access as the intersection of:</w:t>
        <w:br/>
        <w:t xml:space="preserve">    validated JWT scope,</w:t>
        <w:br/>
        <w:t xml:space="preserve">    Actor policy limits,</w:t>
        <w:br/>
        <w:t xml:space="preserve">    permitted Subject-Actor delegation,</w:t>
        <w:br/>
        <w:t xml:space="preserve">    Subject permissions,</w:t>
        <w:br/>
        <w:t xml:space="preserve">    Published Resource constraints.</w:t>
        <w:br/>
        <w:t xml:space="preserve">    Validate request parameters and explicit requested row scope against that intersection.</w:t>
        <w:br/>
        <w:t xml:space="preserve">    Unknown/invalid parameter -&gt; 400 invalid_request.</w:t>
        <w:br/>
        <w:t xml:space="preserve">    If explicit scope is outside allowed row scope -&gt; logical DENY.</w:t>
        <w:br/>
        <w:br/>
        <w:t>11. For ALLOW, apply server-side row filtering.</w:t>
        <w:br/>
        <w:t xml:space="preserve">    If country is absent, apply the full allowed row scope; never widen it.</w:t>
        <w:br/>
        <w:br/>
        <w:t>12. Apply the fixed column projection.</w:t>
        <w:br/>
        <w:br/>
        <w:t>13. Execute only the predefined read operation through the runtime DB identity.</w:t>
        <w:br/>
        <w:t xml:space="preserve">    Enforce the configured server-side result limit; never silently truncate.</w:t>
        <w:br/>
        <w:br/>
        <w:t>14. Finalize the logical decision through mandatory audit:</w:t>
        <w:br/>
        <w:t xml:space="preserve">    - logical DENY: write DENY audit with RowsReturned = 0;</w:t>
        <w:br/>
        <w:t xml:space="preserve">      audit failure -&gt; 503 audit_write_failed;</w:t>
        <w:br/>
        <w:t xml:space="preserve">      audit success -&gt; 403 access_denied.</w:t>
        <w:br/>
        <w:t xml:space="preserve">    - ALLOW: write ALLOW audit with actual RowsReturned after the read;</w:t>
        <w:br/>
        <w:t xml:space="preserve">      audit failure -&gt; 503 audit_write_failed and discard protected data;</w:t>
        <w:br/>
        <w:t xml:space="preserve">      audit success -&gt; continue.</w:t>
        <w:br/>
        <w:br/>
        <w:t>15. Return the protected 200 result only after all mandatory checks and successful audit.</w:t>
      </w:r>
    </w:p>
    <w:p>
      <w:pPr>
        <w:keepNext/>
        <w:spacing w:before="100" w:after="40"/>
        <w:ind w:firstLine="0"/>
        <w:jc w:val="center"/>
      </w:pPr>
      <w:r>
        <w:drawing>
          <wp:inline xmlns:a="http://schemas.openxmlformats.org/drawingml/2006/main" xmlns:pic="http://schemas.openxmlformats.org/drawingml/2006/picture">
            <wp:extent cx="5580000" cy="1897692"/>
            <wp:docPr id="3" name="Picture 3"/>
            <wp:cNvGraphicFramePr>
              <a:graphicFrameLocks noChangeAspect="1"/>
            </wp:cNvGraphicFramePr>
            <a:graphic>
              <a:graphicData uri="http://schemas.openxmlformats.org/drawingml/2006/picture">
                <pic:pic>
                  <pic:nvPicPr>
                    <pic:cNvPr id="0" name="fig_3.png"/>
                    <pic:cNvPicPr/>
                  </pic:nvPicPr>
                  <pic:blipFill>
                    <a:blip r:embed="rId13"/>
                    <a:stretch>
                      <a:fillRect/>
                    </a:stretch>
                  </pic:blipFill>
                  <pic:spPr>
                    <a:xfrm>
                      <a:off x="0" y="0"/>
                      <a:ext cx="5580000" cy="1897692"/>
                    </a:xfrm>
                    <a:prstGeom prst="rect"/>
                  </pic:spPr>
                </pic:pic>
              </a:graphicData>
            </a:graphic>
          </wp:inline>
        </w:drawing>
      </w:r>
    </w:p>
    <w:p>
      <w:pPr>
        <w:pStyle w:val="PZCaption"/>
        <w:ind w:firstLine="0"/>
        <w:jc w:val="left"/>
      </w:pPr>
      <w:r>
        <w:rPr>
          <w:rFonts w:ascii="Times New Roman" w:hAnsi="Times New Roman" w:eastAsia="Times New Roman"/>
          <w:b/>
          <w:i w:val="0"/>
          <w:sz w:val="21"/>
        </w:rPr>
        <w:t>Figure 3.2 - Formation of Effective Access</w:t>
      </w:r>
    </w:p>
    <w:p>
      <w:r>
        <w:rPr>
          <w:rFonts w:ascii="Times New Roman" w:hAnsi="Times New Roman" w:eastAsia="Times New Roman"/>
          <w:b w:val="0"/>
          <w:i w:val="0"/>
          <w:sz w:val="24"/>
        </w:rPr>
        <w:t>The formula does not imply that all constraints must be represented by the same data type. It establishes the general law: no input can expand the final scope beyond another mandatory constraint.</w:t>
      </w:r>
    </w:p>
    <w:p>
      <w:pPr>
        <w:pStyle w:val="PZHeading2"/>
        <w:ind w:firstLine="0"/>
      </w:pPr>
      <w:r>
        <w:rPr>
          <w:rFonts w:ascii="Times New Roman" w:hAnsi="Times New Roman" w:eastAsia="Times New Roman"/>
          <w:b/>
          <w:i w:val="0"/>
          <w:sz w:val="26"/>
        </w:rPr>
        <w:t>3.6. Row-scope and column-scope enforcement</w:t>
      </w:r>
    </w:p>
    <w:p>
      <w:r>
        <w:rPr>
          <w:rFonts w:ascii="Times New Roman" w:hAnsi="Times New Roman" w:eastAsia="Times New Roman"/>
          <w:b w:val="0"/>
          <w:i w:val="0"/>
          <w:sz w:val="24"/>
        </w:rPr>
        <w:t>For SalesManagerEurope, omitting country results in automatic server-side filtering and 200: only rows in the permitted European scope are returned. This is fundamentally different from silent widening - a request without explicit scope does not broaden permissions; it uses the entire permitted scope.</w:t>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p>
    <w:p>
      <w:r>
        <w:rPr>
          <w:rFonts w:ascii="Times New Roman" w:hAnsi="Times New Roman" w:eastAsia="Times New Roman"/>
          <w:b w:val="0"/>
          <w:i w:val="0"/>
          <w:sz w:val="24"/>
        </w:rPr>
        <w:t>With an explicit request country=USA, the same Subject receives 403 / access_denied because the requested scope is not a subset of the allowed scope.</w:t>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Column restriction has a different nature. The Published Resource field set is fixed independently of a particular Subject. PII-like fields are therefore excluded not only by the policy decision, but also by the restricted database representation as a second barrier.</w:t>
      </w:r>
    </w:p>
    <w:p>
      <w:r>
        <w:rPr>
          <w:rFonts w:ascii="Times New Roman" w:hAnsi="Times New Roman" w:eastAsia="Times New Roman"/>
          <w:b w:val="0"/>
          <w:i w:val="0"/>
          <w:sz w:val="24"/>
        </w:rPr>
        <w:t>Per-Subject PostgreSQL RLS is deliberately not used in v0.1. RLS could bind row enforcement more strongly to the DBMS, but it would require reliable propagation of Subject/Actor context into the database session and make the first hypothesis test depend on an additional PostgreSQL-specific mechanism. For v0.1, row scope remains in the Application/Policy layer; this limitation is explicitly recorded as a residual risk.</w:t>
      </w:r>
    </w:p>
    <w:p>
      <w:pPr>
        <w:pStyle w:val="PZHeading2"/>
        <w:ind w:firstLine="0"/>
      </w:pPr>
      <w:r>
        <w:rPr>
          <w:rFonts w:ascii="Times New Roman" w:hAnsi="Times New Roman" w:eastAsia="Times New Roman"/>
          <w:b/>
          <w:i w:val="0"/>
          <w:sz w:val="26"/>
        </w:rPr>
        <w:t>3.7. Database Defense in Depth</w:t>
      </w:r>
    </w:p>
    <w:p>
      <w:pPr>
        <w:pStyle w:val="PZHeading3"/>
        <w:ind w:firstLine="0"/>
      </w:pPr>
      <w:r>
        <w:rPr>
          <w:rFonts w:ascii="Times New Roman" w:hAnsi="Times New Roman" w:eastAsia="Times New Roman"/>
          <w:b/>
          <w:i w:val="0"/>
          <w:sz w:val="24"/>
        </w:rPr>
        <w:t>3.7.1. Options considered</w:t>
      </w:r>
    </w:p>
    <w:p>
      <w:r>
        <w:rPr>
          <w:rFonts w:ascii="Times New Roman" w:hAnsi="Times New Roman" w:eastAsia="Times New Roman"/>
          <w:b/>
          <w:i w:val="0"/>
          <w:sz w:val="24"/>
        </w:rPr>
        <w:t>Application filtering only. This is the simplest implementation, but a projection/query defect could give the runtime process access to everything permitted by its database credential. That is insufficient for a security-critical boundary.</w:t>
      </w:r>
      <w:r>
        <w:rPr>
          <w:rFonts w:ascii="Times New Roman" w:hAnsi="Times New Roman" w:eastAsia="Times New Roman"/>
          <w:b w:val="0"/>
          <w:i w:val="0"/>
          <w:sz w:val="24"/>
        </w:rPr>
      </w:r>
    </w:p>
    <w:p>
      <w:r>
        <w:rPr>
          <w:rFonts w:ascii="Times New Roman" w:hAnsi="Times New Roman" w:eastAsia="Times New Roman"/>
          <w:b/>
          <w:i w:val="0"/>
          <w:sz w:val="24"/>
        </w:rPr>
        <w:t>Per-Subject RLS. A strong database-native row-restriction model, but for v0.1 it adds user-context propagation and PostgreSQL-specific policy semantics that are not needed to verify the core composition.</w:t>
      </w:r>
      <w:r>
        <w:rPr>
          <w:rFonts w:ascii="Times New Roman" w:hAnsi="Times New Roman" w:eastAsia="Times New Roman"/>
          <w:b w:val="0"/>
          <w:i w:val="0"/>
          <w:sz w:val="24"/>
        </w:rPr>
      </w:r>
    </w:p>
    <w:p>
      <w:r>
        <w:rPr>
          <w:rFonts w:ascii="Times New Roman" w:hAnsi="Times New Roman" w:eastAsia="Times New Roman"/>
          <w:b/>
          <w:i w:val="0"/>
          <w:sz w:val="24"/>
        </w:rPr>
        <w:t>Restricted representation + least-privilege runtime identity. The database layer does not know an individual Subject policy, but it strictly limits the overall set of columns and operation types available to the PDG process. This option is selected as an independent second layer behind Application/Policy enforcement.</w:t>
      </w:r>
      <w:r>
        <w:rPr>
          <w:rFonts w:ascii="Times New Roman" w:hAnsi="Times New Roman" w:eastAsia="Times New Roman"/>
          <w:b w:val="0"/>
          <w:i w:val="0"/>
          <w:sz w:val="24"/>
        </w:rPr>
      </w:r>
    </w:p>
    <w:p>
      <w:pPr>
        <w:keepNext/>
        <w:spacing w:before="100" w:after="40"/>
        <w:ind w:firstLine="0"/>
        <w:jc w:val="center"/>
      </w:pPr>
      <w:r>
        <w:drawing>
          <wp:inline xmlns:a="http://schemas.openxmlformats.org/drawingml/2006/main" xmlns:pic="http://schemas.openxmlformats.org/drawingml/2006/picture">
            <wp:extent cx="5580000" cy="601725"/>
            <wp:docPr id="4" name="Picture 4"/>
            <wp:cNvGraphicFramePr>
              <a:graphicFrameLocks noChangeAspect="1"/>
            </wp:cNvGraphicFramePr>
            <a:graphic>
              <a:graphicData uri="http://schemas.openxmlformats.org/drawingml/2006/picture">
                <pic:pic>
                  <pic:nvPicPr>
                    <pic:cNvPr id="0" name="fig_4.png"/>
                    <pic:cNvPicPr/>
                  </pic:nvPicPr>
                  <pic:blipFill>
                    <a:blip r:embed="rId14"/>
                    <a:stretch>
                      <a:fillRect/>
                    </a:stretch>
                  </pic:blipFill>
                  <pic:spPr>
                    <a:xfrm>
                      <a:off x="0" y="0"/>
                      <a:ext cx="5580000" cy="601725"/>
                    </a:xfrm>
                    <a:prstGeom prst="rect"/>
                  </pic:spPr>
                </pic:pic>
              </a:graphicData>
            </a:graphic>
          </wp:inline>
        </w:drawing>
      </w:r>
    </w:p>
    <w:p>
      <w:pPr>
        <w:pStyle w:val="PZCaption"/>
        <w:ind w:firstLine="0"/>
        <w:jc w:val="left"/>
      </w:pPr>
      <w:r>
        <w:rPr>
          <w:rFonts w:ascii="Times New Roman" w:hAnsi="Times New Roman" w:eastAsia="Times New Roman"/>
          <w:b/>
          <w:i w:val="0"/>
          <w:sz w:val="21"/>
        </w:rPr>
        <w:t>Figure 3.3 - Separation of Application-level and Database-level enforcement</w:t>
      </w:r>
    </w:p>
    <w:p>
      <w:pPr>
        <w:pStyle w:val="PZHeading3"/>
        <w:ind w:firstLine="0"/>
      </w:pPr>
      <w:r>
        <w:rPr>
          <w:rFonts w:ascii="Times New Roman" w:hAnsi="Times New Roman" w:eastAsia="Times New Roman"/>
          <w:b/>
          <w:i w:val="0"/>
          <w:sz w:val="24"/>
        </w:rPr>
        <w:t>3.7.2. Database security invariant</w:t>
      </w:r>
    </w:p>
    <w:p>
      <w:r>
        <w:rPr>
          <w:rFonts w:ascii="Times New Roman" w:hAnsi="Times New Roman" w:eastAsia="Times New Roman"/>
          <w:b w:val="0"/>
          <w:i w:val="0"/>
          <w:sz w:val="24"/>
        </w:rPr>
        <w:t>The invariant is defined not by a single REVOKE command, but by the resulting privilege state: the runtime DB identity has SELECT only on the approved restricted representation, has no direct SELECT on protected base tables, has no write/DDL privileges, does not own protected tables, and receives no bypass authority through role membership, PUBLIC grants, or other privilege paths.</w:t>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PostgreSQL roles and privileges can implement such a ceiling [6], [7]. The exact role names, VIEW name, and final DDL belong to the future implementation and bootstrap rather than to the normative interface of this Explanatory Note. The invariant is demonstrated by integration tests T-07 and T-08, not merely by the existence of a DDL file.</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p>
    <w:p>
      <w:r>
        <w:rPr>
          <w:rFonts w:ascii="Times New Roman" w:hAnsi="Times New Roman" w:eastAsia="Times New Roman"/>
          <w:b w:val="0"/>
          <w:i w:val="0"/>
          <w:sz w:val="24"/>
        </w:rPr>
        <w:t>The accepted residual risk remains explicit: an Application row-filtering defect could theoretically disclose another row already inside the restricted representation. It must not expose excluded columns, direct base-table access, or write operations.</w:t>
      </w:r>
    </w:p>
    <w:p>
      <w:pPr>
        <w:pStyle w:val="PZHeading2"/>
        <w:ind w:firstLine="0"/>
      </w:pPr>
      <w:r>
        <w:rPr>
          <w:rFonts w:ascii="Times New Roman" w:hAnsi="Times New Roman" w:eastAsia="Times New Roman"/>
          <w:b/>
          <w:i w:val="0"/>
          <w:sz w:val="26"/>
        </w:rPr>
        <w:t>3.8. Mandatory audit and fail-closed behavior</w:t>
      </w:r>
    </w:p>
    <w:p>
      <w:r>
        <w:rPr>
          <w:rFonts w:ascii="Times New Roman" w:hAnsi="Times New Roman" w:eastAsia="Times New Roman"/>
          <w:b w:val="0"/>
          <w:i w:val="0"/>
          <w:sz w:val="24"/>
        </w:rPr>
        <w:t>Audit is part of the security path, not post-factum telemetry. For completed ALLOW and DENY decisions, the system records Timestamp, Subject, Actor, Capability, Resource, Scope, Decision, ReasonCategory, normalized policy-relevant parameters, and RowsReturned. For DENY, RowsReturned = 0.</w:t>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Raw prompt, bearer token, credentials, connection strings, secrets, and full response body are not stored.</w:t>
      </w:r>
    </w:p>
    <w:p>
      <w:r>
        <w:rPr>
          <w:rFonts w:ascii="Times New Roman" w:hAnsi="Times New Roman" w:eastAsia="Times New Roman"/>
          <w:b w:val="0"/>
          <w:i w:val="0"/>
          <w:sz w:val="24"/>
        </w:rPr>
        <w:t>Application audit semantics are append-only: the normal application API does not modify or delete previously created records. This must not be confused with tamper-proof storage: a Platform Store administrator may have capabilities outside application semantics. Cryptographic immutability is not claimed in v0.1.</w:t>
      </w:r>
    </w:p>
    <w:p>
      <w:r>
        <w:rPr>
          <w:rFonts w:ascii="Times New Roman" w:hAnsi="Times New Roman" w:eastAsia="Times New Roman"/>
          <w:b w:val="0"/>
          <w:i w:val="0"/>
          <w:sz w:val="24"/>
        </w:rPr>
        <w:t>A critical property is audit-before-release. If policy returns ALLOW and data have already been read, but the mandatory audit record cannot be written, those data are not released to the Actor. If the initial decision was DENY but the DENY audit cannot be persisted, the final response also becomes 503 / audit_write_failed rather than the normal 403.</w:t>
      </w:r>
      <w:r>
        <w:rPr>
          <w:rFonts w:ascii="Times New Roman" w:hAnsi="Times New Roman" w:eastAsia="Times New Roman"/>
          <w:b/>
          <w:i w:val="0"/>
          <w:sz w:val="24"/>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keepNext/>
        <w:spacing w:before="100" w:after="40"/>
        <w:ind w:firstLine="0"/>
        <w:jc w:val="center"/>
      </w:pPr>
      <w:r>
        <w:drawing>
          <wp:inline xmlns:a="http://schemas.openxmlformats.org/drawingml/2006/main" xmlns:pic="http://schemas.openxmlformats.org/drawingml/2006/picture">
            <wp:extent cx="5580000" cy="5781154"/>
            <wp:docPr id="5" name="Picture 5"/>
            <wp:cNvGraphicFramePr>
              <a:graphicFrameLocks noChangeAspect="1"/>
            </wp:cNvGraphicFramePr>
            <a:graphic>
              <a:graphicData uri="http://schemas.openxmlformats.org/drawingml/2006/picture">
                <pic:pic>
                  <pic:nvPicPr>
                    <pic:cNvPr id="0" name="fig_5.png"/>
                    <pic:cNvPicPr/>
                  </pic:nvPicPr>
                  <pic:blipFill>
                    <a:blip r:embed="rId15"/>
                    <a:stretch>
                      <a:fillRect/>
                    </a:stretch>
                  </pic:blipFill>
                  <pic:spPr>
                    <a:xfrm>
                      <a:off x="0" y="0"/>
                      <a:ext cx="5580000" cy="5781154"/>
                    </a:xfrm>
                    <a:prstGeom prst="rect"/>
                  </pic:spPr>
                </pic:pic>
              </a:graphicData>
            </a:graphic>
          </wp:inline>
        </w:drawing>
      </w:r>
    </w:p>
    <w:p>
      <w:pPr>
        <w:pStyle w:val="PZCaption"/>
        <w:ind w:firstLine="0"/>
        <w:jc w:val="left"/>
      </w:pPr>
      <w:r>
        <w:rPr>
          <w:rFonts w:ascii="Times New Roman" w:hAnsi="Times New Roman" w:eastAsia="Times New Roman"/>
          <w:b/>
          <w:i w:val="0"/>
          <w:sz w:val="21"/>
        </w:rPr>
        <w:t>Figure 3.4 - Position of mandatory audit in the result-release chain</w:t>
      </w:r>
    </w:p>
    <w:p>
      <w:r>
        <w:rPr>
          <w:rFonts w:ascii="Times New Roman" w:hAnsi="Times New Roman" w:eastAsia="Times New Roman"/>
          <w:b w:val="0"/>
          <w:i w:val="0"/>
          <w:sz w:val="24"/>
        </w:rPr>
        <w:t>This design makes a normal successful response without a corresponding application-level audit record impossible.</w:t>
      </w:r>
    </w:p>
    <w:p>
      <w:pPr>
        <w:pStyle w:val="PZHeading2"/>
        <w:ind w:firstLine="0"/>
      </w:pPr>
      <w:r>
        <w:rPr>
          <w:rFonts w:ascii="Times New Roman" w:hAnsi="Times New Roman" w:eastAsia="Times New Roman"/>
          <w:b/>
          <w:i w:val="0"/>
          <w:sz w:val="26"/>
        </w:rPr>
        <w:t>3.9. Distinguishability of failures</w:t>
      </w:r>
    </w:p>
    <w:p>
      <w:r>
        <w:rPr>
          <w:rFonts w:ascii="Times New Roman" w:hAnsi="Times New Roman" w:eastAsia="Times New Roman"/>
          <w:b w:val="0"/>
          <w:i w:val="0"/>
          <w:sz w:val="24"/>
        </w:rPr>
        <w:t>The error model serves two purposes. For the caller, it distinguishes authentication, authorization, invalid request, and infrastructure failure. For development and testing, it prevents the system from disguising fail-open behavior as an ordinary DENY.</w:t>
      </w:r>
    </w:p>
    <w:p>
      <w:pPr>
        <w:pStyle w:val="PZCaption"/>
        <w:ind w:firstLine="0"/>
        <w:jc w:val="left"/>
      </w:pPr>
      <w:r>
        <w:rPr>
          <w:rFonts w:ascii="Times New Roman" w:hAnsi="Times New Roman" w:eastAsia="Times New Roman"/>
          <w:b/>
          <w:i w:val="0"/>
          <w:sz w:val="21"/>
        </w:rPr>
        <w:t>Table 3.2 - Minimum PDG v0.1 error contract</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1008"/>
            <w:vAlign w:val="center"/>
            <w:shd w:fill="E7E6E6"/>
          </w:tcPr>
          <w:p>
            <w:pPr>
              <w:spacing w:after="20" w:before="20"/>
              <w:ind w:firstLine="0"/>
              <w:jc w:val="left"/>
            </w:pPr>
            <w:r>
              <w:rPr>
                <w:rFonts w:ascii="Times New Roman" w:hAnsi="Times New Roman" w:eastAsia="Times New Roman"/>
                <w:b/>
                <w:i w:val="0"/>
                <w:sz w:val="18"/>
              </w:rPr>
              <w:t>HTTP</w:t>
            </w:r>
          </w:p>
        </w:tc>
        <w:tc>
          <w:tcPr>
            <w:tcW w:type="dxa" w:w="3061"/>
            <w:vAlign w:val="center"/>
            <w:shd w:fill="E7E6E6"/>
          </w:tcPr>
          <w:p>
            <w:pPr>
              <w:spacing w:after="20" w:before="20"/>
              <w:ind w:firstLine="0"/>
              <w:jc w:val="left"/>
            </w:pPr>
            <w:r>
              <w:rPr>
                <w:rFonts w:ascii="Times New Roman" w:hAnsi="Times New Roman" w:eastAsia="Times New Roman"/>
                <w:b/>
                <w:i w:val="0"/>
                <w:sz w:val="18"/>
              </w:rPr>
              <w:t>Machine-readable category</w:t>
            </w:r>
          </w:p>
        </w:tc>
        <w:tc>
          <w:tcPr>
            <w:tcW w:type="dxa" w:w="5567"/>
            <w:vAlign w:val="center"/>
            <w:shd w:fill="E7E6E6"/>
          </w:tcPr>
          <w:p>
            <w:pPr>
              <w:spacing w:after="20" w:before="20"/>
              <w:ind w:firstLine="0"/>
              <w:jc w:val="left"/>
            </w:pPr>
            <w:r>
              <w:rPr>
                <w:rFonts w:ascii="Times New Roman" w:hAnsi="Times New Roman" w:eastAsia="Times New Roman"/>
                <w:b/>
                <w:i w:val="0"/>
                <w:sz w:val="18"/>
              </w:rPr>
              <w:t>Meaning</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200</w:t>
            </w:r>
          </w:p>
        </w:tc>
        <w:tc>
          <w:tcPr>
            <w:tcW w:type="dxa" w:w="3061"/>
            <w:vAlign w:val="center"/>
          </w:tcPr>
          <w:p>
            <w:pPr>
              <w:spacing w:after="20" w:before="20"/>
              <w:ind w:firstLine="0"/>
              <w:jc w:val="left"/>
            </w:pPr>
            <w:r>
              <w:rPr>
                <w:rFonts w:ascii="Courier New" w:hAnsi="Courier New" w:eastAsia="Courier New"/>
                <w:b w:val="0"/>
                <w:i w:val="0"/>
                <w:sz w:val="17"/>
              </w:rPr>
              <w:t>success</w:t>
            </w:r>
          </w:p>
        </w:tc>
        <w:tc>
          <w:tcPr>
            <w:tcW w:type="dxa" w:w="5567"/>
            <w:vAlign w:val="center"/>
          </w:tcPr>
          <w:p>
            <w:pPr>
              <w:spacing w:after="20" w:before="20"/>
              <w:ind w:firstLine="0"/>
              <w:jc w:val="left"/>
            </w:pPr>
            <w:r>
              <w:rPr>
                <w:rFonts w:ascii="Times New Roman" w:hAnsi="Times New Roman" w:eastAsia="Times New Roman"/>
                <w:b w:val="0"/>
                <w:i w:val="0"/>
                <w:sz w:val="18"/>
              </w:rPr>
              <w:t>protected result released after all checks and audit</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400</w:t>
            </w:r>
          </w:p>
        </w:tc>
        <w:tc>
          <w:tcPr>
            <w:tcW w:type="dxa" w:w="3061"/>
            <w:vAlign w:val="center"/>
          </w:tcPr>
          <w:p>
            <w:pPr>
              <w:spacing w:after="20" w:before="20"/>
              <w:ind w:firstLine="0"/>
              <w:jc w:val="left"/>
            </w:pPr>
            <w:r>
              <w:rPr>
                <w:rFonts w:ascii="Courier New" w:hAnsi="Courier New" w:eastAsia="Courier New"/>
                <w:b w:val="0"/>
                <w:i w:val="0"/>
                <w:sz w:val="17"/>
              </w:rPr>
              <w:t>invalid_request</w:t>
            </w:r>
          </w:p>
        </w:tc>
        <w:tc>
          <w:tcPr>
            <w:tcW w:type="dxa" w:w="5567"/>
            <w:vAlign w:val="center"/>
          </w:tcPr>
          <w:p>
            <w:pPr>
              <w:spacing w:after="20" w:before="20"/>
              <w:ind w:firstLine="0"/>
              <w:jc w:val="left"/>
            </w:pPr>
            <w:r>
              <w:rPr>
                <w:rFonts w:ascii="Times New Roman" w:hAnsi="Times New Roman" w:eastAsia="Times New Roman"/>
                <w:b w:val="0"/>
                <w:i w:val="0"/>
                <w:sz w:val="18"/>
              </w:rPr>
              <w:t>input API contract violated, for example an unknown parameter</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400</w:t>
            </w:r>
          </w:p>
        </w:tc>
        <w:tc>
          <w:tcPr>
            <w:tcW w:type="dxa" w:w="3061"/>
            <w:vAlign w:val="center"/>
          </w:tcPr>
          <w:p>
            <w:pPr>
              <w:spacing w:after="20" w:before="20"/>
              <w:ind w:firstLine="0"/>
              <w:jc w:val="left"/>
            </w:pPr>
            <w:r>
              <w:rPr>
                <w:rFonts w:ascii="Courier New" w:hAnsi="Courier New" w:eastAsia="Courier New"/>
                <w:b w:val="0"/>
                <w:i w:val="0"/>
                <w:sz w:val="17"/>
              </w:rPr>
              <w:t>result_limit_exceeded</w:t>
            </w:r>
          </w:p>
        </w:tc>
        <w:tc>
          <w:tcPr>
            <w:tcW w:type="dxa" w:w="5567"/>
            <w:vAlign w:val="center"/>
          </w:tcPr>
          <w:p>
            <w:pPr>
              <w:spacing w:after="20" w:before="20"/>
              <w:ind w:firstLine="0"/>
              <w:jc w:val="left"/>
            </w:pPr>
            <w:r>
              <w:rPr>
                <w:rFonts w:ascii="Times New Roman" w:hAnsi="Times New Roman" w:eastAsia="Times New Roman"/>
                <w:b w:val="0"/>
                <w:i w:val="0"/>
                <w:sz w:val="18"/>
              </w:rPr>
              <w:t>configured server-side limit exceeded; no silent truncation</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401</w:t>
            </w:r>
          </w:p>
        </w:tc>
        <w:tc>
          <w:tcPr>
            <w:tcW w:type="dxa" w:w="3061"/>
            <w:vAlign w:val="center"/>
          </w:tcPr>
          <w:p>
            <w:pPr>
              <w:spacing w:after="20" w:before="20"/>
              <w:ind w:firstLine="0"/>
              <w:jc w:val="left"/>
            </w:pPr>
            <w:r>
              <w:rPr>
                <w:rFonts w:ascii="Courier New" w:hAnsi="Courier New" w:eastAsia="Courier New"/>
                <w:b w:val="0"/>
                <w:i w:val="0"/>
                <w:sz w:val="17"/>
              </w:rPr>
              <w:t>authentication_failed</w:t>
            </w:r>
          </w:p>
        </w:tc>
        <w:tc>
          <w:tcPr>
            <w:tcW w:type="dxa" w:w="5567"/>
            <w:vAlign w:val="center"/>
          </w:tcPr>
          <w:p>
            <w:pPr>
              <w:spacing w:after="20" w:before="20"/>
              <w:ind w:firstLine="0"/>
              <w:jc w:val="left"/>
            </w:pPr>
            <w:r>
              <w:rPr>
                <w:rFonts w:ascii="Times New Roman" w:hAnsi="Times New Roman" w:eastAsia="Times New Roman"/>
                <w:b w:val="0"/>
                <w:i w:val="0"/>
                <w:sz w:val="18"/>
              </w:rPr>
              <w:t>invalid/expired JWT, missing/invalid sub or act.sub</w:t>
            </w:r>
            <w:r>
              <w:rPr>
                <w:rFonts w:ascii="Courier New" w:hAnsi="Courier New" w:eastAsia="Courier New"/>
                <w:b w:val="0"/>
                <w:i w:val="0"/>
                <w:sz w:val="17"/>
              </w:rPr>
            </w:r>
            <w:r>
              <w:rPr>
                <w:rFonts w:ascii="Times New Roman" w:hAnsi="Times New Roman" w:eastAsia="Times New Roman"/>
                <w:b w:val="0"/>
                <w:i w:val="0"/>
                <w:sz w:val="18"/>
              </w:rPr>
            </w:r>
            <w:r>
              <w:rPr>
                <w:rFonts w:ascii="Courier New" w:hAnsi="Courier New" w:eastAsia="Courier New"/>
                <w:b w:val="0"/>
                <w:i w:val="0"/>
                <w:sz w:val="17"/>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403</w:t>
            </w:r>
          </w:p>
        </w:tc>
        <w:tc>
          <w:tcPr>
            <w:tcW w:type="dxa" w:w="3061"/>
            <w:vAlign w:val="center"/>
          </w:tcPr>
          <w:p>
            <w:pPr>
              <w:spacing w:after="20" w:before="20"/>
              <w:ind w:firstLine="0"/>
              <w:jc w:val="left"/>
            </w:pPr>
            <w:r>
              <w:rPr>
                <w:rFonts w:ascii="Courier New" w:hAnsi="Courier New" w:eastAsia="Courier New"/>
                <w:b w:val="0"/>
                <w:i w:val="0"/>
                <w:sz w:val="17"/>
              </w:rPr>
              <w:t>access_denied</w:t>
            </w:r>
          </w:p>
        </w:tc>
        <w:tc>
          <w:tcPr>
            <w:tcW w:type="dxa" w:w="5567"/>
            <w:vAlign w:val="center"/>
          </w:tcPr>
          <w:p>
            <w:pPr>
              <w:spacing w:after="20" w:before="20"/>
              <w:ind w:firstLine="0"/>
              <w:jc w:val="left"/>
            </w:pPr>
            <w:r>
              <w:rPr>
                <w:rFonts w:ascii="Times New Roman" w:hAnsi="Times New Roman" w:eastAsia="Times New Roman"/>
                <w:b w:val="0"/>
                <w:i w:val="0"/>
                <w:sz w:val="18"/>
              </w:rPr>
              <w:t>identity is valid, but Effective Access does not permit the operation</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404</w:t>
            </w:r>
          </w:p>
        </w:tc>
        <w:tc>
          <w:tcPr>
            <w:tcW w:type="dxa" w:w="3061"/>
            <w:vAlign w:val="center"/>
          </w:tcPr>
          <w:p>
            <w:pPr>
              <w:spacing w:after="20" w:before="20"/>
              <w:ind w:firstLine="0"/>
              <w:jc w:val="left"/>
            </w:pPr>
            <w:r>
              <w:rPr>
                <w:rFonts w:ascii="Courier New" w:hAnsi="Courier New" w:eastAsia="Courier New"/>
                <w:b w:val="0"/>
                <w:i w:val="0"/>
                <w:sz w:val="17"/>
              </w:rPr>
              <w:t>resource_not_found</w:t>
            </w:r>
          </w:p>
        </w:tc>
        <w:tc>
          <w:tcPr>
            <w:tcW w:type="dxa" w:w="5567"/>
            <w:vAlign w:val="center"/>
          </w:tcPr>
          <w:p>
            <w:pPr>
              <w:spacing w:after="20" w:before="20"/>
              <w:ind w:firstLine="0"/>
              <w:jc w:val="left"/>
            </w:pPr>
            <w:r>
              <w:rPr>
                <w:rFonts w:ascii="Times New Roman" w:hAnsi="Times New Roman" w:eastAsia="Times New Roman"/>
                <w:b w:val="0"/>
                <w:i w:val="0"/>
                <w:sz w:val="18"/>
              </w:rPr>
              <w:t>Published Resource does not exist</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500</w:t>
            </w:r>
          </w:p>
        </w:tc>
        <w:tc>
          <w:tcPr>
            <w:tcW w:type="dxa" w:w="3061"/>
            <w:vAlign w:val="center"/>
          </w:tcPr>
          <w:p>
            <w:pPr>
              <w:spacing w:after="20" w:before="20"/>
              <w:ind w:firstLine="0"/>
              <w:jc w:val="left"/>
            </w:pPr>
            <w:r>
              <w:rPr>
                <w:rFonts w:ascii="Courier New" w:hAnsi="Courier New" w:eastAsia="Courier New"/>
                <w:b w:val="0"/>
                <w:i w:val="0"/>
                <w:sz w:val="17"/>
              </w:rPr>
              <w:t>internal_error</w:t>
            </w:r>
          </w:p>
        </w:tc>
        <w:tc>
          <w:tcPr>
            <w:tcW w:type="dxa" w:w="5567"/>
            <w:vAlign w:val="center"/>
          </w:tcPr>
          <w:p>
            <w:pPr>
              <w:spacing w:after="20" w:before="20"/>
              <w:ind w:firstLine="0"/>
              <w:jc w:val="left"/>
            </w:pPr>
            <w:r>
              <w:rPr>
                <w:rFonts w:ascii="Times New Roman" w:hAnsi="Times New Roman" w:eastAsia="Times New Roman"/>
                <w:b w:val="0"/>
                <w:i w:val="0"/>
                <w:sz w:val="18"/>
              </w:rPr>
              <w:t>mandatory policy/configuration is malformed or invalid</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503</w:t>
            </w:r>
          </w:p>
        </w:tc>
        <w:tc>
          <w:tcPr>
            <w:tcW w:type="dxa" w:w="3061"/>
            <w:vAlign w:val="center"/>
          </w:tcPr>
          <w:p>
            <w:pPr>
              <w:spacing w:after="20" w:before="20"/>
              <w:ind w:firstLine="0"/>
              <w:jc w:val="left"/>
            </w:pPr>
            <w:r>
              <w:rPr>
                <w:rFonts w:ascii="Courier New" w:hAnsi="Courier New" w:eastAsia="Courier New"/>
                <w:b w:val="0"/>
                <w:i w:val="0"/>
                <w:sz w:val="17"/>
              </w:rPr>
              <w:t>corporate_data_source_unavailable</w:t>
            </w:r>
          </w:p>
        </w:tc>
        <w:tc>
          <w:tcPr>
            <w:tcW w:type="dxa" w:w="5567"/>
            <w:vAlign w:val="center"/>
          </w:tcPr>
          <w:p>
            <w:pPr>
              <w:spacing w:after="20" w:before="20"/>
              <w:ind w:firstLine="0"/>
              <w:jc w:val="left"/>
            </w:pPr>
            <w:r>
              <w:rPr>
                <w:rFonts w:ascii="Times New Roman" w:hAnsi="Times New Roman" w:eastAsia="Times New Roman"/>
                <w:b w:val="0"/>
                <w:i w:val="0"/>
                <w:sz w:val="18"/>
              </w:rPr>
              <w:t>Corporate Data Source is unavailable</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503</w:t>
            </w:r>
          </w:p>
        </w:tc>
        <w:tc>
          <w:tcPr>
            <w:tcW w:type="dxa" w:w="3061"/>
            <w:vAlign w:val="center"/>
          </w:tcPr>
          <w:p>
            <w:pPr>
              <w:spacing w:after="20" w:before="20"/>
              <w:ind w:firstLine="0"/>
              <w:jc w:val="left"/>
            </w:pPr>
            <w:r>
              <w:rPr>
                <w:rFonts w:ascii="Courier New" w:hAnsi="Courier New" w:eastAsia="Courier New"/>
                <w:b w:val="0"/>
                <w:i w:val="0"/>
                <w:sz w:val="17"/>
              </w:rPr>
              <w:t>platform_store_unavailable</w:t>
            </w:r>
          </w:p>
        </w:tc>
        <w:tc>
          <w:tcPr>
            <w:tcW w:type="dxa" w:w="5567"/>
            <w:vAlign w:val="center"/>
          </w:tcPr>
          <w:p>
            <w:pPr>
              <w:spacing w:after="20" w:before="20"/>
              <w:ind w:firstLine="0"/>
              <w:jc w:val="left"/>
            </w:pPr>
            <w:r>
              <w:rPr>
                <w:rFonts w:ascii="Times New Roman" w:hAnsi="Times New Roman" w:eastAsia="Times New Roman"/>
                <w:b w:val="0"/>
                <w:i w:val="0"/>
                <w:sz w:val="18"/>
              </w:rPr>
              <w:t>Platform Store is unavailable; policy cannot be determined</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503</w:t>
            </w:r>
          </w:p>
        </w:tc>
        <w:tc>
          <w:tcPr>
            <w:tcW w:type="dxa" w:w="3061"/>
            <w:vAlign w:val="center"/>
          </w:tcPr>
          <w:p>
            <w:pPr>
              <w:spacing w:after="20" w:before="20"/>
              <w:ind w:firstLine="0"/>
              <w:jc w:val="left"/>
            </w:pPr>
            <w:r>
              <w:rPr>
                <w:rFonts w:ascii="Courier New" w:hAnsi="Courier New" w:eastAsia="Courier New"/>
                <w:b w:val="0"/>
                <w:i w:val="0"/>
                <w:sz w:val="17"/>
              </w:rPr>
              <w:t>audit_write_failed</w:t>
            </w:r>
          </w:p>
        </w:tc>
        <w:tc>
          <w:tcPr>
            <w:tcW w:type="dxa" w:w="5567"/>
            <w:vAlign w:val="center"/>
          </w:tcPr>
          <w:p>
            <w:pPr>
              <w:spacing w:after="20" w:before="20"/>
              <w:ind w:firstLine="0"/>
              <w:jc w:val="left"/>
            </w:pPr>
            <w:r>
              <w:rPr>
                <w:rFonts w:ascii="Times New Roman" w:hAnsi="Times New Roman" w:eastAsia="Times New Roman"/>
                <w:b w:val="0"/>
                <w:i w:val="0"/>
                <w:sz w:val="18"/>
              </w:rPr>
              <w:t>mandatory audit record was not written</w:t>
            </w:r>
          </w:p>
        </w:tc>
      </w:tr>
    </w:tbl>
    <w:p>
      <w:pPr>
        <w:spacing w:after="20"/>
        <w:ind w:firstLine="0"/>
      </w:pPr>
    </w:p>
    <w:p>
      <w:r>
        <w:rPr>
          <w:rFonts w:ascii="Times New Roman" w:hAnsi="Times New Roman" w:eastAsia="Times New Roman"/>
          <w:b w:val="0"/>
          <w:i w:val="0"/>
          <w:sz w:val="24"/>
        </w:rPr>
        <w:t>The external response must not contain stack traces, SQL, database hostname, IP address, database name, username, connection string, credentials, secrets, or other sensitive internals.</w:t>
      </w:r>
    </w:p>
    <w:p>
      <w:pPr>
        <w:pStyle w:val="PZHeading2"/>
        <w:ind w:firstLine="0"/>
      </w:pPr>
      <w:r>
        <w:rPr>
          <w:rFonts w:ascii="Times New Roman" w:hAnsi="Times New Roman" w:eastAsia="Times New Roman"/>
          <w:b/>
          <w:i w:val="0"/>
          <w:sz w:val="26"/>
        </w:rPr>
        <w:t>3.10. Reliability, restart, and idempotent bootstrap</w:t>
      </w:r>
    </w:p>
    <w:p>
      <w:r>
        <w:rPr>
          <w:rFonts w:ascii="Times New Roman" w:hAnsi="Times New Roman" w:eastAsia="Times New Roman"/>
          <w:b w:val="0"/>
          <w:i w:val="0"/>
          <w:sz w:val="24"/>
        </w:rPr>
        <w:t>The general PDG failure mode is fail closed. If Effective Access cannot be determined unambiguously, protected data are not returned.</w:t>
      </w:r>
      <w:r>
        <w:rPr>
          <w:rFonts w:ascii="Times New Roman" w:hAnsi="Times New Roman" w:eastAsia="Times New Roman"/>
          <w:b/>
          <w:i w:val="0"/>
          <w:sz w:val="24"/>
        </w:rPr>
      </w:r>
      <w:r>
        <w:rPr>
          <w:rFonts w:ascii="Times New Roman" w:hAnsi="Times New Roman" w:eastAsia="Times New Roman"/>
          <w:b w:val="0"/>
          <w:i w:val="0"/>
          <w:sz w:val="24"/>
        </w:rPr>
      </w:r>
    </w:p>
    <w:p>
      <w:r>
        <w:rPr>
          <w:rFonts w:ascii="Times New Roman" w:hAnsi="Times New Roman" w:eastAsia="Times New Roman"/>
          <w:b w:val="0"/>
          <w:i w:val="0"/>
          <w:sz w:val="24"/>
        </w:rPr>
        <w:t>For a reproducible environment, bootstrap creates and converges demo Subjects, Actor, delegations, Published Resource, policies, limits, Chinook demo data, and database security objects to the expected state. Re-running bootstrap after complete or partial prior initialization must not create duplicates, cause privilege escalation, or require mandatory manual cleanup.</w:t>
      </w:r>
    </w:p>
    <w:p>
      <w:r>
        <w:rPr>
          <w:rFonts w:ascii="Times New Roman" w:hAnsi="Times New Roman" w:eastAsia="Times New Roman"/>
          <w:b w:val="0"/>
          <w:i w:val="0"/>
          <w:sz w:val="24"/>
        </w:rPr>
        <w:t>After restart, required Platform Store data, audit, Corporate Data Source data, and security configuration must persist. Restart itself must not place the system into a state with broader authority.</w:t>
      </w:r>
    </w:p>
    <w:p>
      <w:r>
        <w:rPr>
          <w:rFonts w:ascii="Times New Roman" w:hAnsi="Times New Roman" w:eastAsia="Times New Roman"/>
          <w:b w:val="0"/>
          <w:i w:val="0"/>
          <w:sz w:val="24"/>
        </w:rPr>
        <w:t>There is no administrative API in v0.1; bootstrap is the only defined mechanism for constructing the demonstration configuration.</w:t>
      </w:r>
    </w:p>
    <w:p>
      <w:pPr>
        <w:pStyle w:val="PZHeading2"/>
        <w:ind w:firstLine="0"/>
      </w:pPr>
      <w:r>
        <w:rPr>
          <w:rFonts w:ascii="Times New Roman" w:hAnsi="Times New Roman" w:eastAsia="Times New Roman"/>
          <w:b/>
          <w:i w:val="0"/>
          <w:sz w:val="26"/>
        </w:rPr>
        <w:t>3.11. Selection of the demonstration source - Chinook</w:t>
      </w:r>
    </w:p>
    <w:p>
      <w:r>
        <w:rPr>
          <w:rFonts w:ascii="Times New Roman" w:hAnsi="Times New Roman" w:eastAsia="Times New Roman"/>
          <w:b w:val="0"/>
          <w:i w:val="0"/>
          <w:sz w:val="24"/>
        </w:rPr>
        <w:t>For Proof of Feasibility, an existing public database is preferable to a purpose-built schema because an independent reviewer can reproduce it. This prevents PDG from succeeding only because the business schema was tailored in advance to the gateway.</w:t>
      </w:r>
    </w:p>
    <w:p>
      <w:r>
        <w:rPr>
          <w:rFonts w:ascii="Times New Roman" w:hAnsi="Times New Roman" w:eastAsia="Times New Roman"/>
          <w:b w:val="0"/>
          <w:i w:val="0"/>
          <w:sz w:val="24"/>
        </w:rPr>
        <w:t>Chinook, AdventureWorks, and Pagila were considered.</w:t>
      </w:r>
    </w:p>
    <w:p>
      <w:pPr>
        <w:pStyle w:val="PZCaption"/>
        <w:ind w:firstLine="0"/>
        <w:jc w:val="left"/>
      </w:pPr>
      <w:r>
        <w:rPr>
          <w:rFonts w:ascii="Times New Roman" w:hAnsi="Times New Roman" w:eastAsia="Times New Roman"/>
          <w:b/>
          <w:i w:val="0"/>
          <w:sz w:val="21"/>
        </w:rPr>
        <w:t>Table 3.3 - Comparison of demonstration databases</w:t>
      </w:r>
    </w:p>
    <w:tbl>
      <w:tblPr>
        <w:tblStyle w:val="TableGrid"/>
        <w:tblW w:type="auto" w:w="0"/>
        <w:jc w:val="center"/>
        <w:tblLayout w:type="fixed"/>
        <w:tblLook w:firstColumn="1" w:firstRow="1" w:lastColumn="0" w:lastRow="0" w:noHBand="0" w:noVBand="1" w:val="04A0"/>
      </w:tblPr>
      <w:tblGrid>
        <w:gridCol w:w="2410"/>
        <w:gridCol w:w="2410"/>
        <w:gridCol w:w="2410"/>
        <w:gridCol w:w="2410"/>
      </w:tblGrid>
      <w:tr>
        <w:trPr>
          <w:cantSplit/>
          <w:tblHeader w:val="true"/>
        </w:trPr>
        <w:tc>
          <w:tcPr>
            <w:tcW w:type="dxa" w:w="3011"/>
            <w:vAlign w:val="center"/>
            <w:shd w:fill="E7E6E6"/>
          </w:tcPr>
          <w:p>
            <w:pPr>
              <w:spacing w:after="20" w:before="20"/>
              <w:ind w:firstLine="0"/>
              <w:jc w:val="left"/>
            </w:pPr>
            <w:r>
              <w:rPr>
                <w:rFonts w:ascii="Times New Roman" w:hAnsi="Times New Roman" w:eastAsia="Times New Roman"/>
                <w:b/>
                <w:i w:val="0"/>
                <w:sz w:val="18"/>
              </w:rPr>
              <w:t>Criterion</w:t>
            </w:r>
          </w:p>
        </w:tc>
        <w:tc>
          <w:tcPr>
            <w:tcW w:type="dxa" w:w="3252"/>
            <w:vAlign w:val="center"/>
            <w:shd w:fill="E7E6E6"/>
          </w:tcPr>
          <w:p>
            <w:pPr>
              <w:spacing w:after="20" w:before="20"/>
              <w:ind w:firstLine="0"/>
              <w:jc w:val="left"/>
            </w:pPr>
            <w:r>
              <w:rPr>
                <w:rFonts w:ascii="Times New Roman" w:hAnsi="Times New Roman" w:eastAsia="Times New Roman"/>
                <w:b/>
                <w:i w:val="0"/>
                <w:sz w:val="18"/>
              </w:rPr>
              <w:t>Chinook</w:t>
            </w:r>
          </w:p>
        </w:tc>
        <w:tc>
          <w:tcPr>
            <w:tcW w:type="dxa" w:w="1686"/>
            <w:vAlign w:val="center"/>
            <w:shd w:fill="E7E6E6"/>
          </w:tcPr>
          <w:p>
            <w:pPr>
              <w:spacing w:after="20" w:before="20"/>
              <w:ind w:firstLine="0"/>
              <w:jc w:val="left"/>
            </w:pPr>
            <w:r>
              <w:rPr>
                <w:rFonts w:ascii="Times New Roman" w:hAnsi="Times New Roman" w:eastAsia="Times New Roman"/>
                <w:b/>
                <w:i w:val="0"/>
                <w:sz w:val="18"/>
              </w:rPr>
              <w:t>AdventureWorks</w:t>
            </w:r>
          </w:p>
        </w:tc>
        <w:tc>
          <w:tcPr>
            <w:tcW w:type="dxa" w:w="1686"/>
            <w:vAlign w:val="center"/>
            <w:shd w:fill="E7E6E6"/>
          </w:tcPr>
          <w:p>
            <w:pPr>
              <w:spacing w:after="20" w:before="20"/>
              <w:ind w:firstLine="0"/>
              <w:jc w:val="left"/>
            </w:pPr>
            <w:r>
              <w:rPr>
                <w:rFonts w:ascii="Times New Roman" w:hAnsi="Times New Roman" w:eastAsia="Times New Roman"/>
                <w:b/>
                <w:i w:val="0"/>
                <w:sz w:val="18"/>
              </w:rPr>
              <w:t>Pagila</w:t>
            </w:r>
          </w:p>
        </w:tc>
      </w:tr>
      <w:tr>
        <w:trPr>
          <w:cantSplit/>
        </w:trPr>
        <w:tc>
          <w:tcPr>
            <w:tcW w:type="dxa" w:w="3011"/>
            <w:vAlign w:val="center"/>
          </w:tcPr>
          <w:p>
            <w:pPr>
              <w:spacing w:after="20" w:before="20"/>
              <w:ind w:firstLine="0"/>
              <w:jc w:val="left"/>
            </w:pPr>
            <w:r>
              <w:rPr>
                <w:rFonts w:ascii="Times New Roman" w:hAnsi="Times New Roman" w:eastAsia="Times New Roman"/>
                <w:b w:val="0"/>
                <w:i w:val="0"/>
                <w:sz w:val="18"/>
              </w:rPr>
              <w:t>Public reproducible sample DB</w:t>
            </w:r>
          </w:p>
        </w:tc>
        <w:tc>
          <w:tcPr>
            <w:tcW w:type="dxa" w:w="3252"/>
            <w:vAlign w:val="center"/>
          </w:tcPr>
          <w:p>
            <w:pPr>
              <w:spacing w:after="20" w:before="20"/>
              <w:ind w:firstLine="0"/>
              <w:jc w:val="left"/>
            </w:pPr>
            <w:r>
              <w:rPr>
                <w:rFonts w:ascii="Times New Roman" w:hAnsi="Times New Roman" w:eastAsia="Times New Roman"/>
                <w:b w:val="0"/>
                <w:i w:val="0"/>
                <w:sz w:val="18"/>
              </w:rPr>
              <w:t>yes</w:t>
            </w:r>
          </w:p>
        </w:tc>
        <w:tc>
          <w:tcPr>
            <w:tcW w:type="dxa" w:w="1686"/>
            <w:vAlign w:val="center"/>
          </w:tcPr>
          <w:p>
            <w:pPr>
              <w:spacing w:after="20" w:before="20"/>
              <w:ind w:firstLine="0"/>
              <w:jc w:val="left"/>
            </w:pPr>
            <w:r>
              <w:rPr>
                <w:rFonts w:ascii="Times New Roman" w:hAnsi="Times New Roman" w:eastAsia="Times New Roman"/>
                <w:b w:val="0"/>
                <w:i w:val="0"/>
                <w:sz w:val="18"/>
              </w:rPr>
              <w:t>yes</w:t>
            </w:r>
          </w:p>
        </w:tc>
        <w:tc>
          <w:tcPr>
            <w:tcW w:type="dxa" w:w="1686"/>
            <w:vAlign w:val="center"/>
          </w:tcPr>
          <w:p>
            <w:pPr>
              <w:spacing w:after="20" w:before="20"/>
              <w:ind w:firstLine="0"/>
              <w:jc w:val="left"/>
            </w:pPr>
            <w:r>
              <w:rPr>
                <w:rFonts w:ascii="Times New Roman" w:hAnsi="Times New Roman" w:eastAsia="Times New Roman"/>
                <w:b w:val="0"/>
                <w:i w:val="0"/>
                <w:sz w:val="18"/>
              </w:rPr>
              <w:t>yes</w:t>
            </w:r>
          </w:p>
        </w:tc>
      </w:tr>
      <w:tr>
        <w:trPr>
          <w:cantSplit/>
        </w:trPr>
        <w:tc>
          <w:tcPr>
            <w:tcW w:type="dxa" w:w="3011"/>
            <w:vAlign w:val="center"/>
          </w:tcPr>
          <w:p>
            <w:pPr>
              <w:spacing w:after="20" w:before="20"/>
              <w:ind w:firstLine="0"/>
              <w:jc w:val="left"/>
            </w:pPr>
            <w:r>
              <w:rPr>
                <w:rFonts w:ascii="Times New Roman" w:hAnsi="Times New Roman" w:eastAsia="Times New Roman"/>
                <w:b w:val="0"/>
                <w:i w:val="0"/>
                <w:sz w:val="18"/>
              </w:rPr>
              <w:t>Licensing suitable for a demo</w:t>
            </w:r>
          </w:p>
        </w:tc>
        <w:tc>
          <w:tcPr>
            <w:tcW w:type="dxa" w:w="3252"/>
            <w:vAlign w:val="center"/>
          </w:tcPr>
          <w:p>
            <w:pPr>
              <w:spacing w:after="20" w:before="20"/>
              <w:ind w:firstLine="0"/>
              <w:jc w:val="left"/>
            </w:pPr>
            <w:r>
              <w:rPr>
                <w:rFonts w:ascii="Times New Roman" w:hAnsi="Times New Roman" w:eastAsia="Times New Roman"/>
                <w:b w:val="0"/>
                <w:i w:val="0"/>
                <w:sz w:val="18"/>
              </w:rPr>
              <w:t>MIT</w:t>
            </w:r>
          </w:p>
        </w:tc>
        <w:tc>
          <w:tcPr>
            <w:tcW w:type="dxa" w:w="1686"/>
            <w:vAlign w:val="center"/>
          </w:tcPr>
          <w:p>
            <w:pPr>
              <w:spacing w:after="20" w:before="20"/>
              <w:ind w:firstLine="0"/>
              <w:jc w:val="left"/>
            </w:pPr>
            <w:r>
              <w:rPr>
                <w:rFonts w:ascii="Times New Roman" w:hAnsi="Times New Roman" w:eastAsia="Times New Roman"/>
                <w:b w:val="0"/>
                <w:i w:val="0"/>
                <w:sz w:val="18"/>
              </w:rPr>
              <w:t>MIT for Microsoft samples</w:t>
            </w:r>
          </w:p>
        </w:tc>
        <w:tc>
          <w:tcPr>
            <w:tcW w:type="dxa" w:w="1686"/>
            <w:vAlign w:val="center"/>
          </w:tcPr>
          <w:p>
            <w:pPr>
              <w:spacing w:after="20" w:before="20"/>
              <w:ind w:firstLine="0"/>
              <w:jc w:val="left"/>
            </w:pPr>
            <w:r>
              <w:rPr>
                <w:rFonts w:ascii="Times New Roman" w:hAnsi="Times New Roman" w:eastAsia="Times New Roman"/>
                <w:b w:val="0"/>
                <w:i w:val="0"/>
                <w:sz w:val="18"/>
              </w:rPr>
              <w:t>PostgreSQL License</w:t>
            </w:r>
          </w:p>
        </w:tc>
      </w:tr>
      <w:tr>
        <w:trPr>
          <w:cantSplit/>
        </w:trPr>
        <w:tc>
          <w:tcPr>
            <w:tcW w:type="dxa" w:w="3011"/>
            <w:vAlign w:val="center"/>
          </w:tcPr>
          <w:p>
            <w:pPr>
              <w:spacing w:after="20" w:before="20"/>
              <w:ind w:firstLine="0"/>
              <w:jc w:val="left"/>
            </w:pPr>
            <w:r>
              <w:rPr>
                <w:rFonts w:ascii="Times New Roman" w:hAnsi="Times New Roman" w:eastAsia="Times New Roman"/>
                <w:b w:val="0"/>
                <w:i w:val="0"/>
                <w:sz w:val="18"/>
              </w:rPr>
              <w:t>Presence of customer/sales-like data</w:t>
            </w:r>
          </w:p>
        </w:tc>
        <w:tc>
          <w:tcPr>
            <w:tcW w:type="dxa" w:w="3252"/>
            <w:vAlign w:val="center"/>
          </w:tcPr>
          <w:p>
            <w:pPr>
              <w:spacing w:after="20" w:before="20"/>
              <w:ind w:firstLine="0"/>
              <w:jc w:val="left"/>
            </w:pPr>
            <w:r>
              <w:rPr>
                <w:rFonts w:ascii="Times New Roman" w:hAnsi="Times New Roman" w:eastAsia="Times New Roman"/>
                <w:b w:val="0"/>
                <w:i w:val="0"/>
                <w:sz w:val="18"/>
              </w:rPr>
              <w:t>yes</w:t>
            </w:r>
          </w:p>
        </w:tc>
        <w:tc>
          <w:tcPr>
            <w:tcW w:type="dxa" w:w="1686"/>
            <w:vAlign w:val="center"/>
          </w:tcPr>
          <w:p>
            <w:pPr>
              <w:spacing w:after="20" w:before="20"/>
              <w:ind w:firstLine="0"/>
              <w:jc w:val="left"/>
            </w:pPr>
            <w:r>
              <w:rPr>
                <w:rFonts w:ascii="Times New Roman" w:hAnsi="Times New Roman" w:eastAsia="Times New Roman"/>
                <w:b w:val="0"/>
                <w:i w:val="0"/>
                <w:sz w:val="18"/>
              </w:rPr>
              <w:t>yes</w:t>
            </w:r>
          </w:p>
        </w:tc>
        <w:tc>
          <w:tcPr>
            <w:tcW w:type="dxa" w:w="1686"/>
            <w:vAlign w:val="center"/>
          </w:tcPr>
          <w:p>
            <w:pPr>
              <w:spacing w:after="20" w:before="20"/>
              <w:ind w:firstLine="0"/>
              <w:jc w:val="left"/>
            </w:pPr>
            <w:r>
              <w:rPr>
                <w:rFonts w:ascii="Times New Roman" w:hAnsi="Times New Roman" w:eastAsia="Times New Roman"/>
                <w:b w:val="0"/>
                <w:i w:val="0"/>
                <w:sz w:val="18"/>
              </w:rPr>
              <w:t>yes, but rental/payments domain</w:t>
            </w:r>
          </w:p>
        </w:tc>
      </w:tr>
      <w:tr>
        <w:trPr>
          <w:cantSplit/>
        </w:trPr>
        <w:tc>
          <w:tcPr>
            <w:tcW w:type="dxa" w:w="3011"/>
            <w:vAlign w:val="center"/>
          </w:tcPr>
          <w:p>
            <w:pPr>
              <w:spacing w:after="20" w:before="20"/>
              <w:ind w:firstLine="0"/>
              <w:jc w:val="left"/>
            </w:pPr>
            <w:r>
              <w:rPr>
                <w:rFonts w:ascii="Times New Roman" w:hAnsi="Times New Roman" w:eastAsia="Times New Roman"/>
                <w:b w:val="0"/>
                <w:i w:val="0"/>
                <w:sz w:val="18"/>
              </w:rPr>
              <w:t>Direct PostgreSQL support</w:t>
            </w:r>
          </w:p>
        </w:tc>
        <w:tc>
          <w:tcPr>
            <w:tcW w:type="dxa" w:w="3252"/>
            <w:vAlign w:val="center"/>
          </w:tcPr>
          <w:p>
            <w:pPr>
              <w:spacing w:after="20" w:before="20"/>
              <w:ind w:firstLine="0"/>
              <w:jc w:val="left"/>
            </w:pPr>
            <w:r>
              <w:rPr>
                <w:rFonts w:ascii="Times New Roman" w:hAnsi="Times New Roman" w:eastAsia="Times New Roman"/>
                <w:b w:val="0"/>
                <w:i w:val="0"/>
                <w:sz w:val="18"/>
              </w:rPr>
              <w:t>yes</w:t>
            </w:r>
          </w:p>
        </w:tc>
        <w:tc>
          <w:tcPr>
            <w:tcW w:type="dxa" w:w="1686"/>
            <w:vAlign w:val="center"/>
          </w:tcPr>
          <w:p>
            <w:pPr>
              <w:spacing w:after="20" w:before="20"/>
              <w:ind w:firstLine="0"/>
              <w:jc w:val="left"/>
            </w:pPr>
            <w:r>
              <w:rPr>
                <w:rFonts w:ascii="Times New Roman" w:hAnsi="Times New Roman" w:eastAsia="Times New Roman"/>
                <w:b w:val="0"/>
                <w:i w:val="0"/>
                <w:sz w:val="18"/>
              </w:rPr>
              <w:t>primary source is SQL Server</w:t>
            </w:r>
          </w:p>
        </w:tc>
        <w:tc>
          <w:tcPr>
            <w:tcW w:type="dxa" w:w="1686"/>
            <w:vAlign w:val="center"/>
          </w:tcPr>
          <w:p>
            <w:pPr>
              <w:spacing w:after="20" w:before="20"/>
              <w:ind w:firstLine="0"/>
              <w:jc w:val="left"/>
            </w:pPr>
            <w:r>
              <w:rPr>
                <w:rFonts w:ascii="Times New Roman" w:hAnsi="Times New Roman" w:eastAsia="Times New Roman"/>
                <w:b w:val="0"/>
                <w:i w:val="0"/>
                <w:sz w:val="18"/>
              </w:rPr>
              <w:t>yes, PostgreSQL-native</w:t>
            </w:r>
          </w:p>
        </w:tc>
      </w:tr>
      <w:tr>
        <w:trPr>
          <w:cantSplit/>
        </w:trPr>
        <w:tc>
          <w:tcPr>
            <w:tcW w:type="dxa" w:w="3011"/>
            <w:vAlign w:val="center"/>
          </w:tcPr>
          <w:p>
            <w:pPr>
              <w:spacing w:after="20" w:before="20"/>
              <w:ind w:firstLine="0"/>
              <w:jc w:val="left"/>
            </w:pPr>
            <w:r>
              <w:rPr>
                <w:rFonts w:ascii="Times New Roman" w:hAnsi="Times New Roman" w:eastAsia="Times New Roman"/>
                <w:b w:val="0"/>
                <w:i w:val="0"/>
                <w:sz w:val="18"/>
              </w:rPr>
              <w:t>One model for multiple DBMSs</w:t>
            </w:r>
          </w:p>
        </w:tc>
        <w:tc>
          <w:tcPr>
            <w:tcW w:type="dxa" w:w="3252"/>
            <w:vAlign w:val="center"/>
          </w:tcPr>
          <w:p>
            <w:pPr>
              <w:spacing w:after="20" w:before="20"/>
              <w:ind w:firstLine="0"/>
              <w:jc w:val="left"/>
            </w:pPr>
            <w:r>
              <w:rPr>
                <w:rFonts w:ascii="Times New Roman" w:hAnsi="Times New Roman" w:eastAsia="Times New Roman"/>
                <w:b w:val="0"/>
                <w:i w:val="0"/>
                <w:sz w:val="18"/>
              </w:rPr>
              <w:t>yes: PostgreSQL, SQL Server, MySQL, Oracle, SQLite, DB2</w:t>
            </w:r>
          </w:p>
        </w:tc>
        <w:tc>
          <w:tcPr>
            <w:tcW w:type="dxa" w:w="1686"/>
            <w:vAlign w:val="center"/>
          </w:tcPr>
          <w:p>
            <w:pPr>
              <w:spacing w:after="20" w:before="20"/>
              <w:ind w:firstLine="0"/>
              <w:jc w:val="left"/>
            </w:pPr>
            <w:r>
              <w:rPr>
                <w:rFonts w:ascii="Times New Roman" w:hAnsi="Times New Roman" w:eastAsia="Times New Roman"/>
                <w:b w:val="0"/>
                <w:i w:val="0"/>
                <w:sz w:val="18"/>
              </w:rPr>
              <w:t>no, SQL Server-oriented</w:t>
            </w:r>
          </w:p>
        </w:tc>
        <w:tc>
          <w:tcPr>
            <w:tcW w:type="dxa" w:w="1686"/>
            <w:vAlign w:val="center"/>
          </w:tcPr>
          <w:p>
            <w:pPr>
              <w:spacing w:after="20" w:before="20"/>
              <w:ind w:firstLine="0"/>
              <w:jc w:val="left"/>
            </w:pPr>
            <w:r>
              <w:rPr>
                <w:rFonts w:ascii="Times New Roman" w:hAnsi="Times New Roman" w:eastAsia="Times New Roman"/>
                <w:b w:val="0"/>
                <w:i w:val="0"/>
                <w:sz w:val="18"/>
              </w:rPr>
              <w:t>no, specifically PostgreSQL</w:t>
            </w:r>
          </w:p>
        </w:tc>
      </w:tr>
      <w:tr>
        <w:trPr>
          <w:cantSplit/>
        </w:trPr>
        <w:tc>
          <w:tcPr>
            <w:tcW w:type="dxa" w:w="3011"/>
            <w:vAlign w:val="center"/>
          </w:tcPr>
          <w:p>
            <w:pPr>
              <w:spacing w:after="20" w:before="20"/>
              <w:ind w:firstLine="0"/>
              <w:jc w:val="left"/>
            </w:pPr>
            <w:r>
              <w:rPr>
                <w:rFonts w:ascii="Times New Roman" w:hAnsi="Times New Roman" w:eastAsia="Times New Roman"/>
                <w:b w:val="0"/>
                <w:i w:val="0"/>
                <w:sz w:val="18"/>
              </w:rPr>
              <w:t>Suitability for a small column-restriction demonstration</w:t>
            </w:r>
          </w:p>
        </w:tc>
        <w:tc>
          <w:tcPr>
            <w:tcW w:type="dxa" w:w="3252"/>
            <w:vAlign w:val="center"/>
          </w:tcPr>
          <w:p>
            <w:pPr>
              <w:spacing w:after="20" w:before="20"/>
              <w:ind w:firstLine="0"/>
              <w:jc w:val="left"/>
            </w:pPr>
            <w:r>
              <w:rPr>
                <w:rFonts w:ascii="Times New Roman" w:hAnsi="Times New Roman" w:eastAsia="Times New Roman"/>
                <w:b w:val="0"/>
                <w:i w:val="0"/>
                <w:sz w:val="18"/>
              </w:rPr>
              <w:t>high</w:t>
            </w:r>
          </w:p>
        </w:tc>
        <w:tc>
          <w:tcPr>
            <w:tcW w:type="dxa" w:w="1686"/>
            <w:vAlign w:val="center"/>
          </w:tcPr>
          <w:p>
            <w:pPr>
              <w:spacing w:after="20" w:before="20"/>
              <w:ind w:firstLine="0"/>
              <w:jc w:val="left"/>
            </w:pPr>
            <w:r>
              <w:rPr>
                <w:rFonts w:ascii="Times New Roman" w:hAnsi="Times New Roman" w:eastAsia="Times New Roman"/>
                <w:b w:val="0"/>
                <w:i w:val="0"/>
                <w:sz w:val="18"/>
              </w:rPr>
              <w:t>high, but the schema is heavier</w:t>
            </w:r>
          </w:p>
        </w:tc>
        <w:tc>
          <w:tcPr>
            <w:tcW w:type="dxa" w:w="1686"/>
            <w:vAlign w:val="center"/>
          </w:tcPr>
          <w:p>
            <w:pPr>
              <w:spacing w:after="20" w:before="20"/>
              <w:ind w:firstLine="0"/>
              <w:jc w:val="left"/>
            </w:pPr>
            <w:r>
              <w:rPr>
                <w:rFonts w:ascii="Times New Roman" w:hAnsi="Times New Roman" w:eastAsia="Times New Roman"/>
                <w:b w:val="0"/>
                <w:i w:val="0"/>
                <w:sz w:val="18"/>
              </w:rPr>
              <w:t>medium</w:t>
            </w:r>
          </w:p>
        </w:tc>
      </w:tr>
      <w:tr>
        <w:trPr>
          <w:cantSplit/>
        </w:trPr>
        <w:tc>
          <w:tcPr>
            <w:tcW w:type="dxa" w:w="3011"/>
            <w:vAlign w:val="center"/>
          </w:tcPr>
          <w:p>
            <w:pPr>
              <w:spacing w:after="20" w:before="20"/>
              <w:ind w:firstLine="0"/>
              <w:jc w:val="left"/>
            </w:pPr>
            <w:r>
              <w:rPr>
                <w:rFonts w:ascii="Times New Roman" w:hAnsi="Times New Roman" w:eastAsia="Times New Roman"/>
                <w:b w:val="0"/>
                <w:i w:val="0"/>
                <w:sz w:val="18"/>
              </w:rPr>
              <w:t>v0.1 selection</w:t>
            </w:r>
          </w:p>
        </w:tc>
        <w:tc>
          <w:tcPr>
            <w:tcW w:type="dxa" w:w="3252"/>
            <w:vAlign w:val="center"/>
          </w:tcPr>
          <w:p>
            <w:pPr>
              <w:spacing w:after="20" w:before="20"/>
              <w:ind w:firstLine="0"/>
              <w:jc w:val="left"/>
            </w:pPr>
            <w:r>
              <w:rPr>
                <w:rFonts w:ascii="Times New Roman" w:hAnsi="Times New Roman" w:eastAsia="Times New Roman"/>
                <w:b/>
                <w:i w:val="0"/>
                <w:sz w:val="18"/>
              </w:rPr>
              <w:t>selected</w:t>
            </w:r>
          </w:p>
        </w:tc>
        <w:tc>
          <w:tcPr>
            <w:tcW w:type="dxa" w:w="1686"/>
            <w:vAlign w:val="center"/>
          </w:tcPr>
          <w:p>
            <w:pPr>
              <w:spacing w:after="20" w:before="20"/>
              <w:ind w:firstLine="0"/>
              <w:jc w:val="left"/>
            </w:pPr>
            <w:r>
              <w:rPr>
                <w:rFonts w:ascii="Times New Roman" w:hAnsi="Times New Roman" w:eastAsia="Times New Roman"/>
                <w:b w:val="0"/>
                <w:i w:val="0"/>
                <w:sz w:val="18"/>
              </w:rPr>
              <w:t>not selected</w:t>
            </w:r>
          </w:p>
        </w:tc>
        <w:tc>
          <w:tcPr>
            <w:tcW w:type="dxa" w:w="1686"/>
            <w:vAlign w:val="center"/>
          </w:tcPr>
          <w:p>
            <w:pPr>
              <w:spacing w:after="20" w:before="20"/>
              <w:ind w:firstLine="0"/>
              <w:jc w:val="left"/>
            </w:pPr>
            <w:r>
              <w:rPr>
                <w:rFonts w:ascii="Times New Roman" w:hAnsi="Times New Roman" w:eastAsia="Times New Roman"/>
                <w:b w:val="0"/>
                <w:i w:val="0"/>
                <w:sz w:val="18"/>
              </w:rPr>
              <w:t>not selected</w:t>
            </w:r>
          </w:p>
        </w:tc>
      </w:tr>
    </w:tbl>
    <w:p>
      <w:pPr>
        <w:spacing w:after="20"/>
        <w:ind w:firstLine="0"/>
      </w:pPr>
    </w:p>
    <w:p>
      <w:r>
        <w:rPr>
          <w:rFonts w:ascii="Times New Roman" w:hAnsi="Times New Roman" w:eastAsia="Times New Roman"/>
          <w:b w:val="0"/>
          <w:i w:val="0"/>
          <w:sz w:val="24"/>
        </w:rPr>
        <w:t>Chinook is specifically positioned as a sample database for demos and ORM testing across multiple database servers [5]. It naturally contains both data useful for a sales summary and fields that can be excluded from a Published Resource. One small schema can therefore demonstrate a useful response, fixed projection, row filtering, and database privileges.</w:t>
      </w:r>
      <w:r>
        <w:rPr>
          <w:rFonts w:ascii="Times New Roman" w:hAnsi="Times New Roman" w:eastAsia="Times New Roman"/>
          <w:b w:val="0"/>
          <w:i w:val="0"/>
          <w:sz w:val="24"/>
        </w:rPr>
      </w:r>
      <w:r>
        <w:rPr>
          <w:rFonts w:ascii="Times New Roman" w:hAnsi="Times New Roman" w:eastAsia="Times New Roman"/>
          <w:b w:val="0"/>
          <w:i w:val="0"/>
          <w:sz w:val="24"/>
        </w:rPr>
      </w:r>
    </w:p>
    <w:p>
      <w:r>
        <w:rPr>
          <w:rFonts w:ascii="Times New Roman" w:hAnsi="Times New Roman" w:eastAsia="Times New Roman"/>
          <w:b w:val="0"/>
          <w:i w:val="0"/>
          <w:sz w:val="24"/>
        </w:rPr>
        <w:t>AdventureWorks is a high-quality corporate sample database, but its main ecosystem and materials are SQL Server-oriented [21]. Pagila, by contrast, deliberately demonstrates PostgreSQL capabilities and is therefore less suitable for the argument that coupling to a single DBMS is being reduced [22].</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3.12. Selection of PostgreSQL, .NET 8, EF Core, and Npgsql</w:t>
      </w:r>
    </w:p>
    <w:p>
      <w:pPr>
        <w:pStyle w:val="PZHeading3"/>
        <w:ind w:firstLine="0"/>
      </w:pPr>
      <w:r>
        <w:rPr>
          <w:rFonts w:ascii="Times New Roman" w:hAnsi="Times New Roman" w:eastAsia="Times New Roman"/>
          <w:b/>
          <w:i w:val="0"/>
          <w:sz w:val="24"/>
        </w:rPr>
        <w:t>3.12.1. PostgreSQL</w:t>
      </w:r>
    </w:p>
    <w:p>
      <w:r>
        <w:rPr>
          <w:rFonts w:ascii="Times New Roman" w:hAnsi="Times New Roman" w:eastAsia="Times New Roman"/>
          <w:b w:val="0"/>
          <w:i w:val="0"/>
          <w:sz w:val="24"/>
        </w:rPr>
        <w:t>PostgreSQL is selected as the first provider for both Corporate Data Source and Platform Store because it is suitable for self-hosted/Docker deployment, creates no licensing barrier for a reproducible demo, and has a mature roles, grants, ownership, and views model needed for database-level Defense in Depth [6], [7].</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p>
    <w:p>
      <w:r>
        <w:rPr>
          <w:rFonts w:ascii="Times New Roman" w:hAnsi="Times New Roman" w:eastAsia="Times New Roman"/>
          <w:b w:val="0"/>
          <w:i w:val="0"/>
          <w:sz w:val="24"/>
        </w:rPr>
        <w:t>PostgreSQL is the first provider, not a promise of universal compatibility. Provider-specific behavior must be localized in the infrastructure layer. Changing DBMS requires an adapter, configuration, and repeated integration/security testing.</w:t>
      </w:r>
      <w:r>
        <w:rPr>
          <w:rFonts w:ascii="Times New Roman" w:hAnsi="Times New Roman" w:eastAsia="Times New Roman"/>
          <w:b/>
          <w:i w:val="0"/>
          <w:sz w:val="24"/>
        </w:rPr>
      </w:r>
      <w:r>
        <w:rPr>
          <w:rFonts w:ascii="Times New Roman" w:hAnsi="Times New Roman" w:eastAsia="Times New Roman"/>
          <w:b w:val="0"/>
          <w:i w:val="0"/>
          <w:sz w:val="24"/>
        </w:rPr>
      </w:r>
    </w:p>
    <w:p>
      <w:pPr>
        <w:pStyle w:val="PZHeading3"/>
        <w:ind w:firstLine="0"/>
      </w:pPr>
      <w:r>
        <w:rPr>
          <w:rFonts w:ascii="Times New Roman" w:hAnsi="Times New Roman" w:eastAsia="Times New Roman"/>
          <w:b/>
          <w:i w:val="0"/>
          <w:sz w:val="24"/>
        </w:rPr>
        <w:t>3.12.2. .NET 8 and ASP.NET Core</w:t>
      </w:r>
    </w:p>
    <w:p>
      <w:r>
        <w:rPr>
          <w:rFonts w:ascii="Times New Roman" w:hAnsi="Times New Roman" w:eastAsia="Times New Roman"/>
          <w:b w:val="0"/>
          <w:i w:val="0"/>
          <w:sz w:val="24"/>
        </w:rPr>
        <w:t>.NET 8 and ASP.NET Core provide one cross-platform environment for implementing the HTTP API, JWT Bearer authentication, dependency injection, structured error handling, and automated tests. Choosing .NET does not mean choosing SQL Server.</w:t>
      </w:r>
    </w:p>
    <w:p>
      <w:pPr>
        <w:pStyle w:val="PZHeading3"/>
        <w:ind w:firstLine="0"/>
      </w:pPr>
      <w:r>
        <w:rPr>
          <w:rFonts w:ascii="Times New Roman" w:hAnsi="Times New Roman" w:eastAsia="Times New Roman"/>
          <w:b/>
          <w:i w:val="0"/>
          <w:sz w:val="24"/>
        </w:rPr>
        <w:t>3.12.3. EF Core and Npgsql</w:t>
      </w:r>
    </w:p>
    <w:p>
      <w:r>
        <w:rPr>
          <w:rFonts w:ascii="Times New Roman" w:hAnsi="Times New Roman" w:eastAsia="Times New Roman"/>
          <w:b w:val="0"/>
          <w:i w:val="0"/>
          <w:sz w:val="24"/>
        </w:rPr>
        <w:t>EF Core uses a provider model: database engines are connected through plug-in providers, and PostgreSQL is supported by Npgsql.EntityFrameworkCore.PostgreSQL [8], [9]. This reduces coupling of Application logic to a particular DBMS, but does not eliminate provider-specific differences and is not a guarantee that the software "works with any database."</w:t>
      </w:r>
      <w:r>
        <w:rPr>
          <w:rFonts w:ascii="Courier New" w:hAnsi="Courier New" w:eastAsia="Courier New"/>
          <w:b w:val="0"/>
          <w:i w:val="0"/>
          <w:sz w:val="23"/>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p>
    <w:p>
      <w:r>
        <w:rPr>
          <w:rFonts w:ascii="Times New Roman" w:hAnsi="Times New Roman" w:eastAsia="Times New Roman"/>
          <w:b w:val="0"/>
          <w:i w:val="0"/>
          <w:sz w:val="24"/>
        </w:rPr>
        <w:t>In the PDG context, the ORM is not a security boundary either. AsNoTracking, LINQ, or typed access do not replace database privileges. The security claim is provided by the combination of policy enforcement, fixed Published Resource, and DB-level least privilege.</w:t>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Exact package/image versions must be pinned in the manifests of the accepted demo; this Explanatory Note does not invent version numbers that were not approved by the Technical Requirements.</w:t>
      </w:r>
    </w:p>
    <w:p>
      <w:pPr>
        <w:pStyle w:val="PZHeading2"/>
        <w:ind w:firstLine="0"/>
      </w:pPr>
      <w:r>
        <w:rPr>
          <w:rFonts w:ascii="Times New Roman" w:hAnsi="Times New Roman" w:eastAsia="Times New Roman"/>
          <w:b/>
          <w:i w:val="0"/>
          <w:sz w:val="26"/>
        </w:rPr>
        <w:t>3.13. Self-hosted deployment and reproducibility</w:t>
      </w:r>
    </w:p>
    <w:p>
      <w:r>
        <w:rPr>
          <w:rFonts w:ascii="Times New Roman" w:hAnsi="Times New Roman" w:eastAsia="Times New Roman"/>
          <w:b w:val="0"/>
          <w:i w:val="0"/>
          <w:sz w:val="24"/>
        </w:rPr>
        <w:t>Self-hosted means the ability to run PDG, Platform Store, and Corporate Data Source in infrastructure controlled by the owner. Docker/Compose is selected for v0.1 as the reproducible-environment mechanism [10].</w:t>
      </w:r>
      <w:r>
        <w:rPr>
          <w:rFonts w:ascii="Times New Roman" w:hAnsi="Times New Roman" w:eastAsia="Times New Roman"/>
          <w:b w:val="0"/>
          <w:i w:val="0"/>
          <w:sz w:val="24"/>
        </w:rPr>
      </w:r>
      <w:r>
        <w:rPr>
          <w:rFonts w:ascii="Times New Roman" w:hAnsi="Times New Roman" w:eastAsia="Times New Roman"/>
          <w:b w:val="0"/>
          <w:i w:val="0"/>
          <w:sz w:val="24"/>
        </w:rPr>
      </w:r>
    </w:p>
    <w:p>
      <w:pPr>
        <w:keepNext/>
        <w:spacing w:before="100" w:after="40"/>
        <w:ind w:firstLine="0"/>
        <w:jc w:val="center"/>
      </w:pPr>
      <w:r>
        <w:drawing>
          <wp:inline xmlns:a="http://schemas.openxmlformats.org/drawingml/2006/main" xmlns:pic="http://schemas.openxmlformats.org/drawingml/2006/picture">
            <wp:extent cx="5580000" cy="1192874"/>
            <wp:docPr id="6" name="Picture 6"/>
            <wp:cNvGraphicFramePr>
              <a:graphicFrameLocks noChangeAspect="1"/>
            </wp:cNvGraphicFramePr>
            <a:graphic>
              <a:graphicData uri="http://schemas.openxmlformats.org/drawingml/2006/picture">
                <pic:pic>
                  <pic:nvPicPr>
                    <pic:cNvPr id="0" name="fig_6.png"/>
                    <pic:cNvPicPr/>
                  </pic:nvPicPr>
                  <pic:blipFill>
                    <a:blip r:embed="rId16"/>
                    <a:stretch>
                      <a:fillRect/>
                    </a:stretch>
                  </pic:blipFill>
                  <pic:spPr>
                    <a:xfrm>
                      <a:off x="0" y="0"/>
                      <a:ext cx="5580000" cy="1192874"/>
                    </a:xfrm>
                    <a:prstGeom prst="rect"/>
                  </pic:spPr>
                </pic:pic>
              </a:graphicData>
            </a:graphic>
          </wp:inline>
        </w:drawing>
      </w:r>
    </w:p>
    <w:p>
      <w:pPr>
        <w:pStyle w:val="PZCaption"/>
        <w:ind w:firstLine="0"/>
        <w:jc w:val="left"/>
      </w:pPr>
      <w:r>
        <w:rPr>
          <w:rFonts w:ascii="Times New Roman" w:hAnsi="Times New Roman" w:eastAsia="Times New Roman"/>
          <w:b/>
          <w:i w:val="0"/>
          <w:sz w:val="21"/>
        </w:rPr>
        <w:t>Figure 3.5 - Self-hosted deployment principle for v0.1</w:t>
      </w:r>
    </w:p>
    <w:p>
      <w:r>
        <w:rPr>
          <w:rFonts w:ascii="Times New Roman" w:hAnsi="Times New Roman" w:eastAsia="Times New Roman"/>
          <w:b w:val="0"/>
          <w:i w:val="0"/>
          <w:sz w:val="24"/>
        </w:rPr>
        <w:t>The exact container topology is an implementation-manifest detail. The essential properties are reproducibility, separate credentials, no mandatory external authorization platform, and the ability to repeat bootstrap until the desired state is reached.</w:t>
      </w:r>
    </w:p>
    <w:p>
      <w:r>
        <w:rPr>
          <w:rFonts w:ascii="Times New Roman" w:hAnsi="Times New Roman" w:eastAsia="Times New Roman"/>
          <w:b w:val="0"/>
          <w:i w:val="0"/>
          <w:sz w:val="24"/>
        </w:rPr>
        <w:t>Bearer tokens must be transmitted over TLS except on localhost or an isolated same-machine Docker network. The mere use of Docker does not justify cleartext transport over a remote network.</w:t>
      </w:r>
    </w:p>
    <w:p>
      <w:pPr>
        <w:pStyle w:val="PZHeading2"/>
        <w:ind w:firstLine="0"/>
      </w:pPr>
      <w:r>
        <w:rPr>
          <w:rFonts w:ascii="Times New Roman" w:hAnsi="Times New Roman" w:eastAsia="Times New Roman"/>
          <w:b/>
          <w:i w:val="0"/>
          <w:sz w:val="26"/>
        </w:rPr>
        <w:t>3.14. Performance-measurement method</w:t>
      </w:r>
    </w:p>
    <w:p>
      <w:r>
        <w:rPr>
          <w:rFonts w:ascii="Times New Roman" w:hAnsi="Times New Roman" w:eastAsia="Times New Roman"/>
          <w:b w:val="0"/>
          <w:i w:val="0"/>
          <w:sz w:val="24"/>
        </w:rPr>
        <w:t>No production SLA is defined for v0.1. Performance is measured rather than used as an invented pass/fail threshold.</w:t>
      </w:r>
    </w:p>
    <w:p>
      <w:r>
        <w:rPr>
          <w:rFonts w:ascii="Times New Roman" w:hAnsi="Times New Roman" w:eastAsia="Times New Roman"/>
          <w:b w:val="0"/>
          <w:i w:val="0"/>
          <w:sz w:val="24"/>
        </w:rPr>
        <w:t>The reference environment, software versions, and dataset size are recorded. After at least 10 warm-up requests, at least 100 sequential measured requests are executed with concurrency = 1.</w:t>
      </w:r>
    </w:p>
    <w:p>
      <w:r>
        <w:rPr>
          <w:rFonts w:ascii="Times New Roman" w:hAnsi="Times New Roman" w:eastAsia="Times New Roman"/>
          <w:b w:val="0"/>
          <w:i w:val="0"/>
          <w:sz w:val="24"/>
        </w:rPr>
        <w:t>The baseline is a direct request to the same restricted representation under the same runtime DB identity. The comparison is an equivalent call through PDG. Median latency, p95 latency, and observed PDG overhead are recorded.</w:t>
      </w:r>
    </w:p>
    <w:p>
      <w:r>
        <w:rPr>
          <w:rFonts w:ascii="Times New Roman" w:hAnsi="Times New Roman" w:eastAsia="Times New Roman"/>
          <w:b w:val="0"/>
          <w:i w:val="0"/>
          <w:sz w:val="24"/>
        </w:rPr>
        <w:t>This comparison separates the cost of the gateway boundary itself from the cost of the particular business query and prevents arbitrary numbers from being presented as prototype performance.</w:t>
      </w:r>
    </w:p>
    <w:p>
      <w:pPr>
        <w:pStyle w:val="PZHeading2"/>
        <w:ind w:firstLine="0"/>
      </w:pPr>
      <w:r>
        <w:rPr>
          <w:rFonts w:ascii="Times New Roman" w:hAnsi="Times New Roman" w:eastAsia="Times New Roman"/>
          <w:b/>
          <w:i w:val="0"/>
          <w:sz w:val="26"/>
        </w:rPr>
        <w:t>3.15. Residual risks and deliberate limitations</w:t>
      </w:r>
    </w:p>
    <w:p>
      <w:r>
        <w:rPr>
          <w:rFonts w:ascii="Times New Roman" w:hAnsi="Times New Roman" w:eastAsia="Times New Roman"/>
          <w:b w:val="0"/>
          <w:i w:val="0"/>
          <w:sz w:val="24"/>
        </w:rPr>
        <w:t>The Preliminary Design must not create a false impression of absolute security. The following residual risks are accepted and documented for v0.1.</w:t>
      </w:r>
    </w:p>
    <w:p>
      <w:r>
        <w:rPr>
          <w:rFonts w:ascii="Times New Roman" w:hAnsi="Times New Roman" w:eastAsia="Times New Roman"/>
          <w:b/>
          <w:i w:val="0"/>
          <w:sz w:val="24"/>
        </w:rPr>
        <w:t>Application row-filtering defect. Because per-Subject row scope is not moved into PostgreSQL RLS, a defect in the Application/Policy layer could theoretically return another row inside the restricted representation. The database boundary must still exclude forbidden columns, base-table access, and writes.</w:t>
      </w:r>
      <w:r>
        <w:rPr>
          <w:rFonts w:ascii="Times New Roman" w:hAnsi="Times New Roman" w:eastAsia="Times New Roman"/>
          <w:b w:val="0"/>
          <w:i w:val="0"/>
          <w:sz w:val="24"/>
        </w:rPr>
      </w:r>
    </w:p>
    <w:p>
      <w:r>
        <w:rPr>
          <w:rFonts w:ascii="Times New Roman" w:hAnsi="Times New Roman" w:eastAsia="Times New Roman"/>
          <w:b/>
          <w:i w:val="0"/>
          <w:sz w:val="24"/>
        </w:rPr>
        <w:t>Prompt injection and misuse of an allowed operation. Prompt injection must not expand Effective Access because AI is not the authorization authority. However, a compromised or misled Actor may misuse operations that are already permitted by its Effective Access.</w:t>
      </w:r>
      <w:r>
        <w:rPr>
          <w:rFonts w:ascii="Times New Roman" w:hAnsi="Times New Roman" w:eastAsia="Times New Roman"/>
          <w:b w:val="0"/>
          <w:i w:val="0"/>
          <w:sz w:val="24"/>
        </w:rPr>
      </w:r>
    </w:p>
    <w:p>
      <w:r>
        <w:rPr>
          <w:rFonts w:ascii="Times New Roman" w:hAnsi="Times New Roman" w:eastAsia="Times New Roman"/>
          <w:b/>
          <w:i w:val="0"/>
          <w:sz w:val="24"/>
        </w:rPr>
        <w:t>Cumulative authorized-query abuse. A series of individually permitted requests may collectively reveal more information than one request. v0.1 does not implement real-time cumulative-abuse detection. The server-side result limit constrains one response, while audit with RowsReturned and normalized parameters provides post-factum observability.</w:t>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i w:val="0"/>
          <w:sz w:val="24"/>
        </w:rPr>
        <w:t>Audit is not tamper-proof. Append-only behavior is defined by application semantics; cryptographic immutability or WORM storage is not claimed.</w:t>
      </w:r>
      <w:r>
        <w:rPr>
          <w:rFonts w:ascii="Times New Roman" w:hAnsi="Times New Roman" w:eastAsia="Times New Roman"/>
          <w:b w:val="0"/>
          <w:i w:val="0"/>
          <w:sz w:val="24"/>
        </w:rPr>
      </w:r>
    </w:p>
    <w:p>
      <w:r>
        <w:rPr>
          <w:rFonts w:ascii="Times New Roman" w:hAnsi="Times New Roman" w:eastAsia="Times New Roman"/>
          <w:b/>
          <w:i w:val="0"/>
          <w:sz w:val="24"/>
        </w:rPr>
        <w:t>Downstream topology. PDG does not require an external cloud for its core function and does not itself have to send corporate data to external services, but after an authorized release to the Actor the subsequent path of the result lies outside the gateway guarantee.</w:t>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3.16. Comparison with the state of the art and closest analogues</w:t>
      </w:r>
    </w:p>
    <w:p>
      <w:pPr>
        <w:pStyle w:val="PZHeading3"/>
        <w:ind w:firstLine="0"/>
      </w:pPr>
      <w:r>
        <w:rPr>
          <w:rFonts w:ascii="Times New Roman" w:hAnsi="Times New Roman" w:eastAsia="Times New Roman"/>
          <w:b/>
          <w:i w:val="0"/>
          <w:sz w:val="24"/>
        </w:rPr>
        <w:t>3.16.1. Comparison method</w:t>
      </w:r>
    </w:p>
    <w:p>
      <w:r>
        <w:rPr>
          <w:rFonts w:ascii="Times New Roman" w:hAnsi="Times New Roman" w:eastAsia="Times New Roman"/>
          <w:b w:val="0"/>
          <w:i w:val="0"/>
          <w:sz w:val="24"/>
        </w:rPr>
        <w:t>The comparison is based on architectural functions, not marketing names. Four dimensions are examined: method of access to relational data; Subject/Actor/delegation model; row/column/data-plane enforcement; self-hosted and audit/fail-closed properties.</w:t>
      </w:r>
    </w:p>
    <w:p>
      <w:r>
        <w:rPr>
          <w:rFonts w:ascii="Times New Roman" w:hAnsi="Times New Roman" w:eastAsia="Times New Roman"/>
          <w:b w:val="0"/>
          <w:i w:val="0"/>
          <w:sz w:val="24"/>
        </w:rPr>
        <w:t>The primary analysis cutoff is 27 Aug 2026, as fixed by the approved Technical Requirements. Primary pages were rechecked on 28 Aug 2026 for link accuracy. The comparison concerns publicly available product/technology materials and is not a patent search.</w:t>
      </w:r>
      <w:r>
        <w:rPr>
          <w:rFonts w:ascii="Times New Roman" w:hAnsi="Times New Roman" w:eastAsia="Times New Roman"/>
          <w:b/>
          <w:i w:val="0"/>
          <w:sz w:val="24"/>
        </w:rPr>
      </w:r>
      <w:r>
        <w:rPr>
          <w:rFonts w:ascii="Times New Roman" w:hAnsi="Times New Roman" w:eastAsia="Times New Roman"/>
          <w:b w:val="0"/>
          <w:i w:val="0"/>
          <w:sz w:val="24"/>
        </w:rPr>
      </w:r>
    </w:p>
    <w:p>
      <w:pPr>
        <w:pStyle w:val="PZHeading3"/>
        <w:ind w:firstLine="0"/>
      </w:pPr>
      <w:r>
        <w:rPr>
          <w:rFonts w:ascii="Times New Roman" w:hAnsi="Times New Roman" w:eastAsia="Times New Roman"/>
          <w:b/>
          <w:i w:val="0"/>
          <w:sz w:val="24"/>
        </w:rPr>
        <w:t>3.16.2. DBShifts Agent Gateway</w:t>
      </w:r>
    </w:p>
    <w:p>
      <w:r>
        <w:rPr>
          <w:rFonts w:ascii="Times New Roman" w:hAnsi="Times New Roman" w:eastAsia="Times New Roman"/>
          <w:b w:val="0"/>
          <w:i w:val="0"/>
          <w:sz w:val="24"/>
        </w:rPr>
        <w:t>DBShifts demonstrates that the idea "AI receives neither raw DB credentials nor raw SQL" already exists as a distinct product class. Its public page describes scoped/revocable agent tokens, table/column allow-lists, PII masking, row caps, rate limits, usage budgets, structured MCP/REST tools, named views with forced filters, and audit [11]. Raw SQL from the agent is not accepted; query shape is constrained by structured tools.</w:t>
      </w:r>
      <w:r>
        <w:rPr>
          <w:rFonts w:ascii="Times New Roman" w:hAnsi="Times New Roman" w:eastAsia="Times New Roman"/>
          <w:b w:val="0"/>
          <w:i w:val="0"/>
          <w:sz w:val="24"/>
        </w:rPr>
      </w:r>
      <w:r>
        <w:rPr>
          <w:rFonts w:ascii="Times New Roman" w:hAnsi="Times New Roman" w:eastAsia="Times New Roman"/>
          <w:b w:val="0"/>
          <w:i w:val="0"/>
          <w:sz w:val="24"/>
        </w:rPr>
      </w:r>
    </w:p>
    <w:p>
      <w:r>
        <w:rPr>
          <w:rFonts w:ascii="Times New Roman" w:hAnsi="Times New Roman" w:eastAsia="Times New Roman"/>
          <w:b w:val="0"/>
          <w:i w:val="0"/>
          <w:sz w:val="24"/>
        </w:rPr>
        <w:t>This is a strong analogue for structured database access without raw SQL. However, the reviewed public materials do not show a mandatory model of independent Subject + Actor identities with explicit pair delegation and the full five-part Effective Access formula used by PDG. The public page also does not confirm self-hosted distribution; the accurate statement is therefore "not found in the materials reviewed," not "the function does not exist."</w:t>
      </w:r>
      <w:r>
        <w:rPr>
          <w:rFonts w:ascii="Times New Roman" w:hAnsi="Times New Roman" w:eastAsia="Times New Roman"/>
          <w:b/>
          <w:i w:val="0"/>
          <w:sz w:val="24"/>
        </w:rPr>
      </w:r>
      <w:r>
        <w:rPr>
          <w:rFonts w:ascii="Times New Roman" w:hAnsi="Times New Roman" w:eastAsia="Times New Roman"/>
          <w:b w:val="0"/>
          <w:i w:val="0"/>
          <w:sz w:val="24"/>
        </w:rPr>
      </w:r>
    </w:p>
    <w:p>
      <w:pPr>
        <w:pStyle w:val="PZHeading3"/>
        <w:ind w:firstLine="0"/>
      </w:pPr>
      <w:r>
        <w:rPr>
          <w:rFonts w:ascii="Times New Roman" w:hAnsi="Times New Roman" w:eastAsia="Times New Roman"/>
          <w:b/>
          <w:i w:val="0"/>
          <w:sz w:val="24"/>
        </w:rPr>
        <w:t>3.16.3. Midplane</w:t>
      </w:r>
    </w:p>
    <w:p>
      <w:r>
        <w:rPr>
          <w:rFonts w:ascii="Times New Roman" w:hAnsi="Times New Roman" w:eastAsia="Times New Roman"/>
          <w:b w:val="0"/>
          <w:i w:val="0"/>
          <w:sz w:val="24"/>
        </w:rPr>
        <w:t>Midplane is a close analogue by position in the data path: it sits in front of PostgreSQL, operates as an MCP server, analyzes SQL with parser-level policy before execution, audits including DENY, supports masking, and offers full self-hosting under MIT [12].</w:t>
      </w:r>
      <w:r>
        <w:rPr>
          <w:rFonts w:ascii="Times New Roman" w:hAnsi="Times New Roman" w:eastAsia="Times New Roman"/>
          <w:b w:val="0"/>
          <w:i w:val="0"/>
          <w:sz w:val="24"/>
        </w:rPr>
      </w:r>
      <w:r>
        <w:rPr>
          <w:rFonts w:ascii="Times New Roman" w:hAnsi="Times New Roman" w:eastAsia="Times New Roman"/>
          <w:b w:val="0"/>
          <w:i w:val="0"/>
          <w:sz w:val="24"/>
        </w:rPr>
      </w:r>
    </w:p>
    <w:p>
      <w:r>
        <w:rPr>
          <w:rFonts w:ascii="Times New Roman" w:hAnsi="Times New Roman" w:eastAsia="Times New Roman"/>
          <w:b w:val="0"/>
          <w:i w:val="0"/>
          <w:sz w:val="24"/>
        </w:rPr>
        <w:t>The key architectural difference is not a claim of greater or lesser security but the trust surface. Midplane accepts SQL and must correctly analyze a rich query language. PDG deliberately does not expose SQL to the Actor: the Actor sees only a Published Resource and bounded parameters.</w:t>
      </w:r>
    </w:p>
    <w:p>
      <w:pPr>
        <w:pStyle w:val="PZHeading3"/>
        <w:ind w:firstLine="0"/>
      </w:pPr>
      <w:r>
        <w:rPr>
          <w:rFonts w:ascii="Times New Roman" w:hAnsi="Times New Roman" w:eastAsia="Times New Roman"/>
          <w:b/>
          <w:i w:val="0"/>
          <w:sz w:val="24"/>
        </w:rPr>
        <w:t>3.16.4. TrueFoundry</w:t>
      </w:r>
    </w:p>
    <w:p>
      <w:r>
        <w:rPr>
          <w:rFonts w:ascii="Times New Roman" w:hAnsi="Times New Roman" w:eastAsia="Times New Roman"/>
          <w:b w:val="0"/>
          <w:i w:val="0"/>
          <w:sz w:val="24"/>
        </w:rPr>
        <w:t>TrueFoundry is important prior art for identity/delegation. Public documentation describes OBO based on RFC 8693, sub=user, act=agent, scope as the intersection of user and agent permissions, separate user/agent authorization, and multi-agent delegation chains [13]. At review time the documentation page was marked Coming Soon / under active development, so this material should be treated as a publicly disclosed architecture rather than automatically as evidence of general production availability.</w:t>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p>
    <w:p>
      <w:r>
        <w:rPr>
          <w:rFonts w:ascii="Times New Roman" w:hAnsi="Times New Roman" w:eastAsia="Times New Roman"/>
          <w:b w:val="0"/>
          <w:i w:val="0"/>
          <w:sz w:val="24"/>
        </w:rPr>
        <w:t>The consequence for PDG is important: separate Subject/Actor identities, RFC 8693 act semantics, delegation, and intersection of user/agent permissions are not differentiators by themselves.</w:t>
      </w:r>
      <w:r>
        <w:rPr>
          <w:rFonts w:ascii="Courier New" w:hAnsi="Courier New" w:eastAsia="Courier New"/>
          <w:b w:val="0"/>
          <w:i w:val="0"/>
          <w:sz w:val="23"/>
        </w:rPr>
      </w:r>
      <w:r>
        <w:rPr>
          <w:rFonts w:ascii="Times New Roman" w:hAnsi="Times New Roman" w:eastAsia="Times New Roman"/>
          <w:b w:val="0"/>
          <w:i w:val="0"/>
          <w:sz w:val="24"/>
        </w:rPr>
      </w:r>
    </w:p>
    <w:p>
      <w:pPr>
        <w:pStyle w:val="PZHeading3"/>
        <w:ind w:firstLine="0"/>
      </w:pPr>
      <w:r>
        <w:rPr>
          <w:rFonts w:ascii="Times New Roman" w:hAnsi="Times New Roman" w:eastAsia="Times New Roman"/>
          <w:b/>
          <w:i w:val="0"/>
          <w:sz w:val="24"/>
        </w:rPr>
        <w:t>3.16.5. Cerbos</w:t>
      </w:r>
    </w:p>
    <w:p>
      <w:r>
        <w:rPr>
          <w:rFonts w:ascii="Times New Roman" w:hAnsi="Times New Roman" w:eastAsia="Times New Roman"/>
          <w:b w:val="0"/>
          <w:i w:val="0"/>
          <w:sz w:val="24"/>
        </w:rPr>
        <w:t>Cerbos provides a policy decision plane for AI gateway authorization: it considers caller, agent, "on whose behalf," resource/context, and delegation chain; lets the gateway enforce ALLOW/DENY before the upstream call; and provides fail-closed behavior for high-capability agents when the policy layer is unavailable [14].</w:t>
      </w:r>
      <w:r>
        <w:rPr>
          <w:rFonts w:ascii="Times New Roman" w:hAnsi="Times New Roman" w:eastAsia="Times New Roman"/>
          <w:b w:val="0"/>
          <w:i w:val="0"/>
          <w:sz w:val="24"/>
        </w:rPr>
      </w:r>
      <w:r>
        <w:rPr>
          <w:rFonts w:ascii="Times New Roman" w:hAnsi="Times New Roman" w:eastAsia="Times New Roman"/>
          <w:b w:val="0"/>
          <w:i w:val="0"/>
          <w:sz w:val="24"/>
        </w:rPr>
      </w:r>
    </w:p>
    <w:p>
      <w:r>
        <w:rPr>
          <w:rFonts w:ascii="Times New Roman" w:hAnsi="Times New Roman" w:eastAsia="Times New Roman"/>
          <w:b w:val="0"/>
          <w:i w:val="0"/>
          <w:sz w:val="24"/>
        </w:rPr>
        <w:t>In the materials reviewed, Cerbos does not act as a standalone database data plane that directly constructs a row/column-safe result from the Corporate Data Source. This distinction matters: Cerbos confirms prior art for policy/delegation but does not reproduce the complete PDG function in front of a corporate database.</w:t>
      </w:r>
    </w:p>
    <w:p>
      <w:pPr>
        <w:pStyle w:val="PZHeading3"/>
        <w:ind w:firstLine="0"/>
      </w:pPr>
      <w:r>
        <w:rPr>
          <w:rFonts w:ascii="Times New Roman" w:hAnsi="Times New Roman" w:eastAsia="Times New Roman"/>
          <w:b/>
          <w:i w:val="0"/>
          <w:sz w:val="24"/>
        </w:rPr>
        <w:t>3.16.6. Microsoft Agent 365 / Entra Agent ID</w:t>
      </w:r>
    </w:p>
    <w:p>
      <w:r>
        <w:rPr>
          <w:rFonts w:ascii="Times New Roman" w:hAnsi="Times New Roman" w:eastAsia="Times New Roman"/>
          <w:b w:val="0"/>
          <w:i w:val="0"/>
          <w:sz w:val="24"/>
        </w:rPr>
        <w:t>Official Microsoft OBO documentation states the model explicitly: the user is the token subject and the agent identity is the actor [15]. This is mature confirmation that Subject/Actor separation and on-behalf semantics are established identity-layer approaches.</w:t>
      </w:r>
      <w:r>
        <w:rPr>
          <w:rFonts w:ascii="Times New Roman" w:hAnsi="Times New Roman" w:eastAsia="Times New Roman"/>
          <w:b w:val="0"/>
          <w:i w:val="0"/>
          <w:sz w:val="24"/>
        </w:rPr>
      </w:r>
      <w:r>
        <w:rPr>
          <w:rFonts w:ascii="Times New Roman" w:hAnsi="Times New Roman" w:eastAsia="Times New Roman"/>
          <w:b w:val="0"/>
          <w:i w:val="0"/>
          <w:sz w:val="24"/>
        </w:rPr>
      </w:r>
    </w:p>
    <w:p>
      <w:r>
        <w:rPr>
          <w:rFonts w:ascii="Times New Roman" w:hAnsi="Times New Roman" w:eastAsia="Times New Roman"/>
          <w:b w:val="0"/>
          <w:i w:val="0"/>
          <w:sz w:val="24"/>
        </w:rPr>
        <w:t>Microsoft Agent 365 addresses the broader class of agent identity and permissions and is not a dedicated lightweight read-only gateway in front of an existing relational database.</w:t>
      </w:r>
    </w:p>
    <w:p>
      <w:pPr>
        <w:pStyle w:val="PZHeading3"/>
        <w:ind w:firstLine="0"/>
      </w:pPr>
      <w:r>
        <w:rPr>
          <w:rFonts w:ascii="Times New Roman" w:hAnsi="Times New Roman" w:eastAsia="Times New Roman"/>
          <w:b/>
          <w:i w:val="0"/>
          <w:sz w:val="24"/>
        </w:rPr>
        <w:t>3.16.7. Snowflake</w:t>
      </w:r>
    </w:p>
    <w:p>
      <w:r>
        <w:rPr>
          <w:rFonts w:ascii="Times New Roman" w:hAnsi="Times New Roman" w:eastAsia="Times New Roman"/>
          <w:b w:val="0"/>
          <w:i w:val="0"/>
          <w:sz w:val="24"/>
        </w:rPr>
        <w:t>Snowflake distinguishes delegated agents acting on behalf of a user from autonomous agents with their own identity; an agent-active context may participate in masking policies [16]. In July 2026 Snowflake introduced Cortex AI Gateway as a governance/interoperability layer for agent activity, building on acquired Natoma MCP technology [17].</w:t>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p>
    <w:p>
      <w:r>
        <w:rPr>
          <w:rFonts w:ascii="Times New Roman" w:hAnsi="Times New Roman" w:eastAsia="Times New Roman"/>
          <w:b w:val="0"/>
          <w:i w:val="0"/>
          <w:sz w:val="24"/>
        </w:rPr>
        <w:t>Snowflake demonstrates mature prior art in agent governance and data-platform enforcement. The scope distinction for PDG is that PDG operates as a standalone self-hosted gateway in front of an existing Corporate Data Source rather than as a mechanism inside a unified data-cloud platform.</w:t>
      </w:r>
    </w:p>
    <w:p>
      <w:pPr>
        <w:pStyle w:val="PZHeading3"/>
        <w:ind w:firstLine="0"/>
      </w:pPr>
      <w:r>
        <w:rPr>
          <w:rFonts w:ascii="Times New Roman" w:hAnsi="Times New Roman" w:eastAsia="Times New Roman"/>
          <w:b/>
          <w:i w:val="0"/>
          <w:sz w:val="24"/>
        </w:rPr>
        <w:t>3.16.8. OpenFGA and PostgREST as adjacent prior art</w:t>
      </w:r>
    </w:p>
    <w:p>
      <w:r>
        <w:rPr>
          <w:rFonts w:ascii="Times New Roman" w:hAnsi="Times New Roman" w:eastAsia="Times New Roman"/>
          <w:b w:val="0"/>
          <w:i w:val="0"/>
          <w:sz w:val="24"/>
        </w:rPr>
        <w:t>In its published AI-agent authorization model, OpenFGA treats agents as first-class principals with explicit can_act_on_behalf_of delegation and bounded scope [18]. This is further confirmation that the agent principal and delegation concepts are not new in themselves.</w:t>
      </w:r>
      <w:r>
        <w:rPr>
          <w:rFonts w:ascii="Courier New" w:hAnsi="Courier New" w:eastAsia="Courier New"/>
          <w:b w:val="0"/>
          <w:i w:val="0"/>
          <w:sz w:val="23"/>
        </w:rPr>
      </w:r>
      <w:r>
        <w:rPr>
          <w:rFonts w:ascii="Times New Roman" w:hAnsi="Times New Roman" w:eastAsia="Times New Roman"/>
          <w:b w:val="0"/>
          <w:i w:val="0"/>
          <w:sz w:val="24"/>
        </w:rPr>
      </w:r>
      <w:r>
        <w:rPr>
          <w:rFonts w:ascii="Times New Roman" w:hAnsi="Times New Roman" w:eastAsia="Times New Roman"/>
          <w:b w:val="0"/>
          <w:i w:val="0"/>
          <w:sz w:val="24"/>
        </w:rPr>
      </w:r>
      <w:r>
        <w:rPr>
          <w:rFonts w:ascii="Times New Roman" w:hAnsi="Times New Roman" w:eastAsia="Times New Roman"/>
          <w:b w:val="0"/>
          <w:i w:val="0"/>
          <w:sz w:val="24"/>
        </w:rPr>
      </w:r>
    </w:p>
    <w:p>
      <w:r>
        <w:rPr>
          <w:rFonts w:ascii="Times New Roman" w:hAnsi="Times New Roman" w:eastAsia="Times New Roman"/>
          <w:b w:val="0"/>
          <w:i w:val="0"/>
          <w:sz w:val="24"/>
        </w:rPr>
        <w:t>PostgREST demonstrates mature database prior art: PostgreSQL roles, impersonation, RLS, and views can be used for database authorization [19]. Accordingly, restricted VIEWs, DB roles, and row-level security also cannot be presented as new mechanisms by themselves.</w:t>
      </w:r>
      <w:r>
        <w:rPr>
          <w:rFonts w:ascii="Times New Roman" w:hAnsi="Times New Roman" w:eastAsia="Times New Roman"/>
          <w:b w:val="0"/>
          <w:i w:val="0"/>
          <w:sz w:val="24"/>
        </w:rPr>
      </w:r>
      <w:r>
        <w:rPr>
          <w:rFonts w:ascii="Times New Roman" w:hAnsi="Times New Roman" w:eastAsia="Times New Roman"/>
          <w:b w:val="0"/>
          <w:i w:val="0"/>
          <w:sz w:val="24"/>
        </w:rPr>
      </w:r>
    </w:p>
    <w:p>
      <w:pPr>
        <w:pStyle w:val="PZHeading3"/>
        <w:ind w:firstLine="0"/>
      </w:pPr>
      <w:r>
        <w:rPr>
          <w:rFonts w:ascii="Times New Roman" w:hAnsi="Times New Roman" w:eastAsia="Times New Roman"/>
          <w:b/>
          <w:i w:val="0"/>
          <w:sz w:val="24"/>
        </w:rPr>
        <w:t>3.16.9. Consolidated result</w:t>
      </w:r>
    </w:p>
    <w:p>
      <w:pPr>
        <w:pStyle w:val="PZCaption"/>
        <w:ind w:firstLine="0"/>
        <w:jc w:val="left"/>
      </w:pPr>
      <w:r>
        <w:rPr>
          <w:rFonts w:ascii="Times New Roman" w:hAnsi="Times New Roman" w:eastAsia="Times New Roman"/>
          <w:b/>
          <w:i w:val="0"/>
          <w:sz w:val="21"/>
        </w:rPr>
        <w:t>Table 3.4 - Degree of known and unestablished matches with PDG characteristics</w:t>
      </w:r>
    </w:p>
    <w:tbl>
      <w:tblPr>
        <w:tblStyle w:val="TableGrid"/>
        <w:tblW w:type="auto" w:w="0"/>
        <w:jc w:val="center"/>
        <w:tblLayout w:type="fixed"/>
        <w:tblLook w:firstColumn="1" w:firstRow="1" w:lastColumn="0" w:lastRow="0" w:noHBand="0" w:noVBand="1" w:val="04A0"/>
      </w:tblPr>
      <w:tblGrid>
        <w:gridCol w:w="4819"/>
        <w:gridCol w:w="4819"/>
      </w:tblGrid>
      <w:tr>
        <w:trPr>
          <w:cantSplit/>
          <w:tblHeader w:val="true"/>
        </w:trPr>
        <w:tc>
          <w:tcPr>
            <w:tcW w:type="dxa" w:w="4736"/>
            <w:vAlign w:val="center"/>
            <w:shd w:fill="E7E6E6"/>
          </w:tcPr>
          <w:p>
            <w:pPr>
              <w:spacing w:after="20" w:before="20"/>
              <w:ind w:firstLine="0"/>
              <w:jc w:val="left"/>
            </w:pPr>
            <w:r>
              <w:rPr>
                <w:rFonts w:ascii="Times New Roman" w:hAnsi="Times New Roman" w:eastAsia="Times New Roman"/>
                <w:b/>
                <w:i w:val="0"/>
                <w:sz w:val="18"/>
              </w:rPr>
              <w:t>Characteristic</w:t>
            </w:r>
          </w:p>
        </w:tc>
        <w:tc>
          <w:tcPr>
            <w:tcW w:type="dxa" w:w="4900"/>
            <w:vAlign w:val="center"/>
            <w:shd w:fill="E7E6E6"/>
          </w:tcPr>
          <w:p>
            <w:pPr>
              <w:spacing w:after="20" w:before="20"/>
              <w:ind w:firstLine="0"/>
              <w:jc w:val="left"/>
            </w:pPr>
            <w:r>
              <w:rPr>
                <w:rFonts w:ascii="Times New Roman" w:hAnsi="Times New Roman" w:eastAsia="Times New Roman"/>
                <w:b/>
                <w:i w:val="0"/>
                <w:sz w:val="18"/>
              </w:rPr>
              <w:t>State of the art in the materials reviewed</w:t>
            </w:r>
          </w:p>
        </w:tc>
      </w:tr>
      <w:tr>
        <w:trPr>
          <w:cantSplit/>
        </w:trPr>
        <w:tc>
          <w:tcPr>
            <w:tcW w:type="dxa" w:w="4736"/>
            <w:vAlign w:val="center"/>
          </w:tcPr>
          <w:p>
            <w:pPr>
              <w:spacing w:after="20" w:before="20"/>
              <w:ind w:firstLine="0"/>
              <w:jc w:val="left"/>
            </w:pPr>
            <w:r>
              <w:rPr>
                <w:rFonts w:ascii="Times New Roman" w:hAnsi="Times New Roman" w:eastAsia="Times New Roman"/>
                <w:b w:val="0"/>
                <w:i w:val="0"/>
                <w:sz w:val="18"/>
              </w:rPr>
              <w:t>Independent user/Subject and agent/Actor identity</w:t>
            </w:r>
          </w:p>
        </w:tc>
        <w:tc>
          <w:tcPr>
            <w:tcW w:type="dxa" w:w="4900"/>
            <w:vAlign w:val="center"/>
          </w:tcPr>
          <w:p>
            <w:pPr>
              <w:spacing w:after="20" w:before="20"/>
              <w:ind w:firstLine="0"/>
              <w:jc w:val="left"/>
            </w:pPr>
            <w:r>
              <w:rPr>
                <w:rFonts w:ascii="Times New Roman" w:hAnsi="Times New Roman" w:eastAsia="Times New Roman"/>
                <w:b w:val="0"/>
                <w:i w:val="0"/>
                <w:sz w:val="18"/>
              </w:rPr>
              <w:t>known: Microsoft, TrueFoundry, Cerbos, OpenFGA</w:t>
            </w:r>
          </w:p>
        </w:tc>
      </w:tr>
      <w:tr>
        <w:trPr>
          <w:cantSplit/>
        </w:trPr>
        <w:tc>
          <w:tcPr>
            <w:tcW w:type="dxa" w:w="4736"/>
            <w:vAlign w:val="center"/>
          </w:tcPr>
          <w:p>
            <w:pPr>
              <w:spacing w:after="20" w:before="20"/>
              <w:ind w:firstLine="0"/>
              <w:jc w:val="left"/>
            </w:pPr>
            <w:r>
              <w:rPr>
                <w:rFonts w:ascii="Times New Roman" w:hAnsi="Times New Roman" w:eastAsia="Times New Roman"/>
                <w:b w:val="0"/>
                <w:i w:val="0"/>
                <w:sz w:val="18"/>
              </w:rPr>
              <w:t xml:space="preserve">OBO / </w:t>
            </w:r>
            <w:r>
              <w:rPr>
                <w:rFonts w:ascii="Courier New" w:hAnsi="Courier New" w:eastAsia="Courier New"/>
                <w:b w:val="0"/>
                <w:i w:val="0"/>
                <w:sz w:val="17"/>
              </w:rPr>
              <w:t>sub</w:t>
            </w:r>
            <w:r>
              <w:rPr>
                <w:rFonts w:ascii="Times New Roman" w:hAnsi="Times New Roman" w:eastAsia="Times New Roman"/>
                <w:b w:val="0"/>
                <w:i w:val="0"/>
                <w:sz w:val="18"/>
              </w:rPr>
              <w:t xml:space="preserve"> + actor semantics</w:t>
            </w:r>
          </w:p>
        </w:tc>
        <w:tc>
          <w:tcPr>
            <w:tcW w:type="dxa" w:w="4900"/>
            <w:vAlign w:val="center"/>
          </w:tcPr>
          <w:p>
            <w:pPr>
              <w:spacing w:after="20" w:before="20"/>
              <w:ind w:firstLine="0"/>
              <w:jc w:val="left"/>
            </w:pPr>
            <w:r>
              <w:rPr>
                <w:rFonts w:ascii="Times New Roman" w:hAnsi="Times New Roman" w:eastAsia="Times New Roman"/>
                <w:b w:val="0"/>
                <w:i w:val="0"/>
                <w:sz w:val="18"/>
              </w:rPr>
              <w:t>known: Microsoft; RFC 8693; TrueFoundry disclosure</w:t>
            </w:r>
          </w:p>
        </w:tc>
      </w:tr>
      <w:tr>
        <w:trPr>
          <w:cantSplit/>
        </w:trPr>
        <w:tc>
          <w:tcPr>
            <w:tcW w:type="dxa" w:w="4736"/>
            <w:vAlign w:val="center"/>
          </w:tcPr>
          <w:p>
            <w:pPr>
              <w:spacing w:after="20" w:before="20"/>
              <w:ind w:firstLine="0"/>
              <w:jc w:val="left"/>
            </w:pPr>
            <w:r>
              <w:rPr>
                <w:rFonts w:ascii="Times New Roman" w:hAnsi="Times New Roman" w:eastAsia="Times New Roman"/>
                <w:b w:val="0"/>
                <w:i w:val="0"/>
                <w:sz w:val="18"/>
              </w:rPr>
              <w:t>Intersection of user/agent permissions</w:t>
            </w:r>
          </w:p>
        </w:tc>
        <w:tc>
          <w:tcPr>
            <w:tcW w:type="dxa" w:w="4900"/>
            <w:vAlign w:val="center"/>
          </w:tcPr>
          <w:p>
            <w:pPr>
              <w:spacing w:after="20" w:before="20"/>
              <w:ind w:firstLine="0"/>
              <w:jc w:val="left"/>
            </w:pPr>
            <w:r>
              <w:rPr>
                <w:rFonts w:ascii="Times New Roman" w:hAnsi="Times New Roman" w:eastAsia="Times New Roman"/>
                <w:b w:val="0"/>
                <w:i w:val="0"/>
                <w:sz w:val="18"/>
              </w:rPr>
              <w:t>known: TrueFoundry disclosure; similar attenuation logic in Cerbos/OpenFGA</w:t>
            </w:r>
          </w:p>
        </w:tc>
      </w:tr>
      <w:tr>
        <w:trPr>
          <w:cantSplit/>
        </w:trPr>
        <w:tc>
          <w:tcPr>
            <w:tcW w:type="dxa" w:w="4736"/>
            <w:vAlign w:val="center"/>
          </w:tcPr>
          <w:p>
            <w:pPr>
              <w:spacing w:after="20" w:before="20"/>
              <w:ind w:firstLine="0"/>
              <w:jc w:val="left"/>
            </w:pPr>
            <w:r>
              <w:rPr>
                <w:rFonts w:ascii="Times New Roman" w:hAnsi="Times New Roman" w:eastAsia="Times New Roman"/>
                <w:b w:val="0"/>
                <w:i w:val="0"/>
                <w:sz w:val="18"/>
              </w:rPr>
              <w:t>Self-hosted gateway in front of PostgreSQL</w:t>
            </w:r>
          </w:p>
        </w:tc>
        <w:tc>
          <w:tcPr>
            <w:tcW w:type="dxa" w:w="4900"/>
            <w:vAlign w:val="center"/>
          </w:tcPr>
          <w:p>
            <w:pPr>
              <w:spacing w:after="20" w:before="20"/>
              <w:ind w:firstLine="0"/>
              <w:jc w:val="left"/>
            </w:pPr>
            <w:r>
              <w:rPr>
                <w:rFonts w:ascii="Times New Roman" w:hAnsi="Times New Roman" w:eastAsia="Times New Roman"/>
                <w:b w:val="0"/>
                <w:i w:val="0"/>
                <w:sz w:val="18"/>
              </w:rPr>
              <w:t>known: Midplane</w:t>
            </w:r>
          </w:p>
        </w:tc>
      </w:tr>
      <w:tr>
        <w:trPr>
          <w:cantSplit/>
        </w:trPr>
        <w:tc>
          <w:tcPr>
            <w:tcW w:type="dxa" w:w="4736"/>
            <w:vAlign w:val="center"/>
          </w:tcPr>
          <w:p>
            <w:pPr>
              <w:spacing w:after="20" w:before="20"/>
              <w:ind w:firstLine="0"/>
              <w:jc w:val="left"/>
            </w:pPr>
            <w:r>
              <w:rPr>
                <w:rFonts w:ascii="Times New Roman" w:hAnsi="Times New Roman" w:eastAsia="Times New Roman"/>
                <w:b w:val="0"/>
                <w:i w:val="0"/>
                <w:sz w:val="18"/>
              </w:rPr>
              <w:t>Structured agent DB access without raw SQL</w:t>
            </w:r>
          </w:p>
        </w:tc>
        <w:tc>
          <w:tcPr>
            <w:tcW w:type="dxa" w:w="4900"/>
            <w:vAlign w:val="center"/>
          </w:tcPr>
          <w:p>
            <w:pPr>
              <w:spacing w:after="20" w:before="20"/>
              <w:ind w:firstLine="0"/>
              <w:jc w:val="left"/>
            </w:pPr>
            <w:r>
              <w:rPr>
                <w:rFonts w:ascii="Times New Roman" w:hAnsi="Times New Roman" w:eastAsia="Times New Roman"/>
                <w:b w:val="0"/>
                <w:i w:val="0"/>
                <w:sz w:val="18"/>
              </w:rPr>
              <w:t>known: DBShifts</w:t>
            </w:r>
          </w:p>
        </w:tc>
      </w:tr>
      <w:tr>
        <w:trPr>
          <w:cantSplit/>
        </w:trPr>
        <w:tc>
          <w:tcPr>
            <w:tcW w:type="dxa" w:w="4736"/>
            <w:vAlign w:val="center"/>
          </w:tcPr>
          <w:p>
            <w:pPr>
              <w:spacing w:after="20" w:before="20"/>
              <w:ind w:firstLine="0"/>
              <w:jc w:val="left"/>
            </w:pPr>
            <w:r>
              <w:rPr>
                <w:rFonts w:ascii="Times New Roman" w:hAnsi="Times New Roman" w:eastAsia="Times New Roman"/>
                <w:b w:val="0"/>
                <w:i w:val="0"/>
                <w:sz w:val="18"/>
              </w:rPr>
              <w:t>Row/column filtering, masking, views, RLS</w:t>
            </w:r>
          </w:p>
        </w:tc>
        <w:tc>
          <w:tcPr>
            <w:tcW w:type="dxa" w:w="4900"/>
            <w:vAlign w:val="center"/>
          </w:tcPr>
          <w:p>
            <w:pPr>
              <w:spacing w:after="20" w:before="20"/>
              <w:ind w:firstLine="0"/>
              <w:jc w:val="left"/>
            </w:pPr>
            <w:r>
              <w:rPr>
                <w:rFonts w:ascii="Times New Roman" w:hAnsi="Times New Roman" w:eastAsia="Times New Roman"/>
                <w:b w:val="0"/>
                <w:i w:val="0"/>
                <w:sz w:val="18"/>
              </w:rPr>
              <w:t>known in DB/data products and PostgreSQL/PostgREST</w:t>
            </w:r>
          </w:p>
        </w:tc>
      </w:tr>
      <w:tr>
        <w:trPr>
          <w:cantSplit/>
        </w:trPr>
        <w:tc>
          <w:tcPr>
            <w:tcW w:type="dxa" w:w="4736"/>
            <w:vAlign w:val="center"/>
          </w:tcPr>
          <w:p>
            <w:pPr>
              <w:spacing w:after="20" w:before="20"/>
              <w:ind w:firstLine="0"/>
              <w:jc w:val="left"/>
            </w:pPr>
            <w:r>
              <w:rPr>
                <w:rFonts w:ascii="Times New Roman" w:hAnsi="Times New Roman" w:eastAsia="Times New Roman"/>
                <w:b w:val="0"/>
                <w:i w:val="0"/>
                <w:sz w:val="18"/>
              </w:rPr>
              <w:t>Audit agent/database actions</w:t>
            </w:r>
          </w:p>
        </w:tc>
        <w:tc>
          <w:tcPr>
            <w:tcW w:type="dxa" w:w="4900"/>
            <w:vAlign w:val="center"/>
          </w:tcPr>
          <w:p>
            <w:pPr>
              <w:spacing w:after="20" w:before="20"/>
              <w:ind w:firstLine="0"/>
              <w:jc w:val="left"/>
            </w:pPr>
            <w:r>
              <w:rPr>
                <w:rFonts w:ascii="Times New Roman" w:hAnsi="Times New Roman" w:eastAsia="Times New Roman"/>
                <w:b w:val="0"/>
                <w:i w:val="0"/>
                <w:sz w:val="18"/>
              </w:rPr>
              <w:t>known in several analogues</w:t>
            </w:r>
          </w:p>
        </w:tc>
      </w:tr>
      <w:tr>
        <w:trPr>
          <w:cantSplit/>
        </w:trPr>
        <w:tc>
          <w:tcPr>
            <w:tcW w:type="dxa" w:w="4736"/>
            <w:vAlign w:val="center"/>
          </w:tcPr>
          <w:p>
            <w:pPr>
              <w:spacing w:after="20" w:before="20"/>
              <w:ind w:firstLine="0"/>
              <w:jc w:val="left"/>
            </w:pPr>
            <w:r>
              <w:rPr>
                <w:rFonts w:ascii="Times New Roman" w:hAnsi="Times New Roman" w:eastAsia="Times New Roman"/>
                <w:b w:val="0"/>
                <w:i w:val="0"/>
                <w:sz w:val="18"/>
              </w:rPr>
              <w:t>Published Resource as the only PDG data surface</w:t>
            </w:r>
          </w:p>
        </w:tc>
        <w:tc>
          <w:tcPr>
            <w:tcW w:type="dxa" w:w="4900"/>
            <w:vAlign w:val="center"/>
          </w:tcPr>
          <w:p>
            <w:pPr>
              <w:spacing w:after="20" w:before="20"/>
              <w:ind w:firstLine="0"/>
              <w:jc w:val="left"/>
            </w:pPr>
            <w:r>
              <w:rPr>
                <w:rFonts w:ascii="Times New Roman" w:hAnsi="Times New Roman" w:eastAsia="Times New Roman"/>
                <w:b w:val="0"/>
                <w:i w:val="0"/>
                <w:sz w:val="18"/>
              </w:rPr>
              <w:t>similar named views/tools are known; exact match not established</w:t>
            </w:r>
          </w:p>
        </w:tc>
      </w:tr>
      <w:tr>
        <w:trPr>
          <w:cantSplit/>
        </w:trPr>
        <w:tc>
          <w:tcPr>
            <w:tcW w:type="dxa" w:w="4736"/>
            <w:vAlign w:val="center"/>
          </w:tcPr>
          <w:p>
            <w:pPr>
              <w:spacing w:after="20" w:before="20"/>
              <w:ind w:firstLine="0"/>
              <w:jc w:val="left"/>
            </w:pPr>
            <w:r>
              <w:rPr>
                <w:rFonts w:ascii="Times New Roman" w:hAnsi="Times New Roman" w:eastAsia="Times New Roman"/>
                <w:b w:val="0"/>
                <w:i w:val="0"/>
                <w:sz w:val="18"/>
              </w:rPr>
              <w:t>DB least-privilege boundary behind a closed Published Resource</w:t>
            </w:r>
          </w:p>
        </w:tc>
        <w:tc>
          <w:tcPr>
            <w:tcW w:type="dxa" w:w="4900"/>
            <w:vAlign w:val="center"/>
          </w:tcPr>
          <w:p>
            <w:pPr>
              <w:spacing w:after="20" w:before="20"/>
              <w:ind w:firstLine="0"/>
              <w:jc w:val="left"/>
            </w:pPr>
            <w:r>
              <w:rPr>
                <w:rFonts w:ascii="Times New Roman" w:hAnsi="Times New Roman" w:eastAsia="Times New Roman"/>
                <w:b w:val="0"/>
                <w:i w:val="0"/>
                <w:sz w:val="18"/>
              </w:rPr>
              <w:t>individual mechanisms are known; exact composition not established</w:t>
            </w:r>
          </w:p>
        </w:tc>
      </w:tr>
      <w:tr>
        <w:trPr>
          <w:cantSplit/>
        </w:trPr>
        <w:tc>
          <w:tcPr>
            <w:tcW w:type="dxa" w:w="4736"/>
            <w:vAlign w:val="center"/>
          </w:tcPr>
          <w:p>
            <w:pPr>
              <w:spacing w:after="20" w:before="20"/>
              <w:ind w:firstLine="0"/>
              <w:jc w:val="left"/>
            </w:pPr>
            <w:r>
              <w:rPr>
                <w:rFonts w:ascii="Times New Roman" w:hAnsi="Times New Roman" w:eastAsia="Times New Roman"/>
                <w:b w:val="0"/>
                <w:i w:val="0"/>
                <w:sz w:val="18"/>
              </w:rPr>
              <w:t>Mandatory audit as a condition for releasing a protected result</w:t>
            </w:r>
          </w:p>
        </w:tc>
        <w:tc>
          <w:tcPr>
            <w:tcW w:type="dxa" w:w="4900"/>
            <w:vAlign w:val="center"/>
          </w:tcPr>
          <w:p>
            <w:pPr>
              <w:spacing w:after="20" w:before="20"/>
              <w:ind w:firstLine="0"/>
              <w:jc w:val="left"/>
            </w:pPr>
            <w:r>
              <w:rPr>
                <w:rFonts w:ascii="Times New Roman" w:hAnsi="Times New Roman" w:eastAsia="Times New Roman"/>
                <w:b w:val="0"/>
                <w:i w:val="0"/>
                <w:sz w:val="18"/>
              </w:rPr>
              <w:t>no exact match found in the public materials reviewed</w:t>
            </w:r>
          </w:p>
        </w:tc>
      </w:tr>
      <w:tr>
        <w:trPr>
          <w:cantSplit/>
        </w:trPr>
        <w:tc>
          <w:tcPr>
            <w:tcW w:type="dxa" w:w="4736"/>
            <w:vAlign w:val="center"/>
          </w:tcPr>
          <w:p>
            <w:pPr>
              <w:spacing w:after="20" w:before="20"/>
              <w:ind w:firstLine="0"/>
              <w:jc w:val="left"/>
            </w:pPr>
            <w:r>
              <w:rPr>
                <w:rFonts w:ascii="Times New Roman" w:hAnsi="Times New Roman" w:eastAsia="Times New Roman"/>
                <w:b w:val="0"/>
                <w:i w:val="0"/>
                <w:sz w:val="18"/>
              </w:rPr>
              <w:t>Complete PDG composition</w:t>
            </w:r>
          </w:p>
        </w:tc>
        <w:tc>
          <w:tcPr>
            <w:tcW w:type="dxa" w:w="4900"/>
            <w:vAlign w:val="center"/>
          </w:tcPr>
          <w:p>
            <w:pPr>
              <w:spacing w:after="20" w:before="20"/>
              <w:ind w:firstLine="0"/>
              <w:jc w:val="left"/>
            </w:pPr>
            <w:r>
              <w:rPr>
                <w:rFonts w:ascii="Times New Roman" w:hAnsi="Times New Roman" w:eastAsia="Times New Roman"/>
                <w:b w:val="0"/>
                <w:i w:val="0"/>
                <w:sz w:val="18"/>
              </w:rPr>
              <w:t>no single clearly matching solution found in the public materials reviewed</w:t>
            </w:r>
          </w:p>
        </w:tc>
      </w:tr>
    </w:tbl>
    <w:p>
      <w:pPr>
        <w:spacing w:after="20"/>
        <w:ind w:firstLine="0"/>
      </w:pPr>
    </w:p>
    <w:p>
      <w:r>
        <w:rPr>
          <w:rFonts w:ascii="Times New Roman" w:hAnsi="Times New Roman" w:eastAsia="Times New Roman"/>
          <w:b w:val="0"/>
          <w:i w:val="0"/>
          <w:sz w:val="24"/>
        </w:rPr>
        <w:t>It is therefore accurate to speak not of the "uniqueness of every element," but of a testable composition:</w:t>
      </w:r>
      <w:r>
        <w:rPr>
          <w:rFonts w:ascii="Times New Roman" w:hAnsi="Times New Roman" w:eastAsia="Times New Roman"/>
          <w:b/>
          <w:i w:val="0"/>
          <w:sz w:val="24"/>
        </w:rPr>
      </w:r>
      <w:r>
        <w:rPr>
          <w:rFonts w:ascii="Times New Roman" w:hAnsi="Times New Roman" w:eastAsia="Times New Roman"/>
          <w:b w:val="0"/>
          <w:i w:val="0"/>
          <w:sz w:val="24"/>
        </w:rPr>
      </w:r>
    </w:p>
    <w:p>
      <w:r>
        <w:rPr>
          <w:rFonts w:ascii="Times New Roman" w:hAnsi="Times New Roman" w:eastAsia="Times New Roman"/>
          <w:b/>
          <w:i w:val="0"/>
          <w:sz w:val="24"/>
        </w:rPr>
        <w:t>delegated Subject-Actor authorization -&gt; intersection of constraints -&gt; closed Published Resource without a SQL surface -&gt; server-side row/column enforcement -&gt; predefined read operation -&gt; independent least-privilege DB boundary -&gt; mandatory audit before result release.</w:t>
      </w:r>
    </w:p>
    <w:p>
      <w:r>
        <w:rPr>
          <w:rFonts w:ascii="Times New Roman" w:hAnsi="Times New Roman" w:eastAsia="Times New Roman"/>
          <w:b w:val="0"/>
          <w:i w:val="0"/>
          <w:sz w:val="24"/>
        </w:rPr>
        <w:t>As of the cutoff, no single solution was found in the reviewed public products and documentation that explicitly reproduces this entire composition. This conclusion is limited to the sources considered. It is not a conclusion about novelty under patent law, patentability, or freedom to operate; those conclusions require a separate professional patent search.</w:t>
      </w:r>
      <w:r>
        <w:rPr>
          <w:rFonts w:ascii="Times New Roman" w:hAnsi="Times New Roman" w:eastAsia="Times New Roman"/>
          <w:b/>
          <w:i w:val="0"/>
          <w:sz w:val="24"/>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3.17. Technical rationale conclusion</w:t>
      </w:r>
    </w:p>
    <w:p>
      <w:r>
        <w:rPr>
          <w:rFonts w:ascii="Times New Roman" w:hAnsi="Times New Roman" w:eastAsia="Times New Roman"/>
          <w:b w:val="0"/>
          <w:i w:val="0"/>
          <w:sz w:val="24"/>
        </w:rPr>
        <w:t>The selected architecture deliberately reduces the untrusted surface. AI remains an interpreter of intent, not the authorization authority. The Actor receives neither database credentials nor arbitrary SQL. Subject and Actor are evaluated independently. The Published Resource constrains the data contract; the Application/Policy layer constrains resource and rows; database privileges establish an independent ceiling on columns/operations; audit is a condition for releasing a protected result.</w:t>
      </w:r>
    </w:p>
    <w:p>
      <w:r>
        <w:rPr>
          <w:rFonts w:ascii="Times New Roman" w:hAnsi="Times New Roman" w:eastAsia="Times New Roman"/>
          <w:b w:val="0"/>
          <w:i w:val="0"/>
          <w:sz w:val="24"/>
        </w:rPr>
        <w:t>The Preliminary Design must confirm not an abstract claim of "AI security," but this specific, limited, and testable trust-boundary hypothesis.</w:t>
      </w:r>
    </w:p>
    <w:p>
      <w:pPr>
        <w:pStyle w:val="PZHeading1"/>
        <w:ind w:firstLine="0"/>
      </w:pPr>
      <w:r>
        <w:rPr>
          <w:rFonts w:ascii="Times New Roman" w:hAnsi="Times New Roman" w:eastAsia="Times New Roman"/>
          <w:b/>
          <w:i w:val="0"/>
          <w:sz w:val="30"/>
        </w:rPr>
        <w:t>4. Expected Technical and Economic Indicators</w:t>
      </w:r>
    </w:p>
    <w:p>
      <w:pPr>
        <w:pStyle w:val="PZHeading2"/>
        <w:ind w:firstLine="0"/>
      </w:pPr>
      <w:r>
        <w:rPr>
          <w:rFonts w:ascii="Times New Roman" w:hAnsi="Times New Roman" w:eastAsia="Times New Roman"/>
          <w:b/>
          <w:i w:val="0"/>
          <w:sz w:val="26"/>
        </w:rPr>
        <w:t>4.1. Purpose of the assessment at stage v0.1</w:t>
      </w:r>
    </w:p>
    <w:p>
      <w:r>
        <w:rPr>
          <w:rFonts w:ascii="Times New Roman" w:hAnsi="Times New Roman" w:eastAsia="Times New Roman"/>
          <w:b w:val="0"/>
          <w:i w:val="0"/>
          <w:sz w:val="24"/>
        </w:rPr>
        <w:t>At the Proof of Feasibility stage, the primary technical-economic objective is to reduce uncertainty before possible further product development. The expected effect is therefore expressed first in architectural verifiability, reproducibility of the environment, and measured characteristics, not in invented commercial metrics.</w:t>
      </w:r>
    </w:p>
    <w:p>
      <w:pPr>
        <w:pStyle w:val="PZHeading2"/>
        <w:ind w:firstLine="0"/>
      </w:pPr>
      <w:r>
        <w:rPr>
          <w:rFonts w:ascii="Times New Roman" w:hAnsi="Times New Roman" w:eastAsia="Times New Roman"/>
          <w:b/>
          <w:i w:val="0"/>
          <w:sz w:val="26"/>
        </w:rPr>
        <w:t>4.2. Expected technical and operational indicators</w:t>
      </w:r>
    </w:p>
    <w:p>
      <w:r>
        <w:rPr>
          <w:rFonts w:ascii="Times New Roman" w:hAnsi="Times New Roman" w:eastAsia="Times New Roman"/>
          <w:b w:val="0"/>
          <w:i w:val="0"/>
          <w:sz w:val="24"/>
        </w:rPr>
        <w:t>After v0.1 is complete, the following verifiable results must be obtained:</w:t>
      </w:r>
    </w:p>
    <w:p>
      <w:pPr>
        <w:pStyle w:val="PZCaption"/>
        <w:ind w:firstLine="0"/>
        <w:jc w:val="left"/>
      </w:pPr>
      <w:r>
        <w:rPr>
          <w:rFonts w:ascii="Times New Roman" w:hAnsi="Times New Roman" w:eastAsia="Times New Roman"/>
          <w:b/>
          <w:i w:val="0"/>
          <w:sz w:val="21"/>
        </w:rPr>
        <w:t>Table 4.1 - Expected verifiable results of stage v0.1</w:t>
      </w:r>
    </w:p>
    <w:tbl>
      <w:tblPr>
        <w:tblStyle w:val="TableGrid"/>
        <w:tblW w:type="auto" w:w="0"/>
        <w:jc w:val="center"/>
        <w:tblLayout w:type="fixed"/>
        <w:tblLook w:firstColumn="1" w:firstRow="1" w:lastColumn="0" w:lastRow="0" w:noHBand="0" w:noVBand="1" w:val="04A0"/>
      </w:tblPr>
      <w:tblGrid>
        <w:gridCol w:w="4819"/>
        <w:gridCol w:w="4819"/>
      </w:tblGrid>
      <w:tr>
        <w:trPr>
          <w:cantSplit/>
          <w:tblHeader w:val="true"/>
        </w:trPr>
        <w:tc>
          <w:tcPr>
            <w:tcW w:type="dxa" w:w="4914"/>
            <w:vAlign w:val="center"/>
            <w:shd w:fill="E7E6E6"/>
          </w:tcPr>
          <w:p>
            <w:pPr>
              <w:spacing w:after="20" w:before="20"/>
              <w:ind w:firstLine="0"/>
              <w:jc w:val="left"/>
            </w:pPr>
            <w:r>
              <w:rPr>
                <w:rFonts w:ascii="Times New Roman" w:hAnsi="Times New Roman" w:eastAsia="Times New Roman"/>
                <w:b/>
                <w:i w:val="0"/>
                <w:sz w:val="18"/>
              </w:rPr>
              <w:t>Indicator</w:t>
            </w:r>
          </w:p>
        </w:tc>
        <w:tc>
          <w:tcPr>
            <w:tcW w:type="dxa" w:w="4722"/>
            <w:vAlign w:val="center"/>
            <w:shd w:fill="E7E6E6"/>
          </w:tcPr>
          <w:p>
            <w:pPr>
              <w:spacing w:after="20" w:before="20"/>
              <w:ind w:firstLine="0"/>
              <w:jc w:val="left"/>
            </w:pPr>
            <w:r>
              <w:rPr>
                <w:rFonts w:ascii="Times New Roman" w:hAnsi="Times New Roman" w:eastAsia="Times New Roman"/>
                <w:b/>
                <w:i w:val="0"/>
                <w:sz w:val="18"/>
              </w:rPr>
              <w:t>Verification method</w:t>
            </w:r>
          </w:p>
        </w:tc>
      </w:tr>
      <w:tr>
        <w:trPr>
          <w:cantSplit/>
        </w:trPr>
        <w:tc>
          <w:tcPr>
            <w:tcW w:type="dxa" w:w="4914"/>
            <w:vAlign w:val="center"/>
          </w:tcPr>
          <w:p>
            <w:pPr>
              <w:spacing w:after="20" w:before="20"/>
              <w:ind w:firstLine="0"/>
              <w:jc w:val="left"/>
            </w:pPr>
            <w:r>
              <w:rPr>
                <w:rFonts w:ascii="Times New Roman" w:hAnsi="Times New Roman" w:eastAsia="Times New Roman"/>
                <w:b w:val="0"/>
                <w:i w:val="0"/>
                <w:sz w:val="18"/>
              </w:rPr>
              <w:t>Joint operability of the 12 hypothesis properties</w:t>
            </w:r>
          </w:p>
        </w:tc>
        <w:tc>
          <w:tcPr>
            <w:tcW w:type="dxa" w:w="4722"/>
            <w:vAlign w:val="center"/>
          </w:tcPr>
          <w:p>
            <w:pPr>
              <w:spacing w:after="20" w:before="20"/>
              <w:ind w:firstLine="0"/>
              <w:jc w:val="left"/>
            </w:pPr>
            <w:r>
              <w:rPr>
                <w:rFonts w:ascii="Times New Roman" w:hAnsi="Times New Roman" w:eastAsia="Times New Roman"/>
                <w:b w:val="0"/>
                <w:i w:val="0"/>
                <w:sz w:val="18"/>
              </w:rPr>
              <w:t>mandatory acceptance suite T-01-T-27</w:t>
            </w:r>
          </w:p>
        </w:tc>
      </w:tr>
      <w:tr>
        <w:trPr>
          <w:cantSplit/>
        </w:trPr>
        <w:tc>
          <w:tcPr>
            <w:tcW w:type="dxa" w:w="4914"/>
            <w:vAlign w:val="center"/>
          </w:tcPr>
          <w:p>
            <w:pPr>
              <w:spacing w:after="20" w:before="20"/>
              <w:ind w:firstLine="0"/>
              <w:jc w:val="left"/>
            </w:pPr>
            <w:r>
              <w:rPr>
                <w:rFonts w:ascii="Times New Roman" w:hAnsi="Times New Roman" w:eastAsia="Times New Roman"/>
                <w:b w:val="0"/>
                <w:i w:val="0"/>
                <w:sz w:val="18"/>
              </w:rPr>
              <w:t>No fail-open when policy/audit is unavailable</w:t>
            </w:r>
          </w:p>
        </w:tc>
        <w:tc>
          <w:tcPr>
            <w:tcW w:type="dxa" w:w="4722"/>
            <w:vAlign w:val="center"/>
          </w:tcPr>
          <w:p>
            <w:pPr>
              <w:spacing w:after="20" w:before="20"/>
              <w:ind w:firstLine="0"/>
              <w:jc w:val="left"/>
            </w:pPr>
            <w:r>
              <w:rPr>
                <w:rFonts w:ascii="Times New Roman" w:hAnsi="Times New Roman" w:eastAsia="Times New Roman"/>
                <w:b w:val="0"/>
                <w:i w:val="0"/>
                <w:sz w:val="18"/>
              </w:rPr>
              <w:t>T-19–T-21</w:t>
            </w:r>
          </w:p>
        </w:tc>
      </w:tr>
      <w:tr>
        <w:trPr>
          <w:cantSplit/>
        </w:trPr>
        <w:tc>
          <w:tcPr>
            <w:tcW w:type="dxa" w:w="4914"/>
            <w:vAlign w:val="center"/>
          </w:tcPr>
          <w:p>
            <w:pPr>
              <w:spacing w:after="20" w:before="20"/>
              <w:ind w:firstLine="0"/>
              <w:jc w:val="left"/>
            </w:pPr>
            <w:r>
              <w:rPr>
                <w:rFonts w:ascii="Times New Roman" w:hAnsi="Times New Roman" w:eastAsia="Times New Roman"/>
                <w:b w:val="0"/>
                <w:i w:val="0"/>
                <w:sz w:val="18"/>
              </w:rPr>
              <w:t>DB-level read/write boundary</w:t>
            </w:r>
          </w:p>
        </w:tc>
        <w:tc>
          <w:tcPr>
            <w:tcW w:type="dxa" w:w="4722"/>
            <w:vAlign w:val="center"/>
          </w:tcPr>
          <w:p>
            <w:pPr>
              <w:spacing w:after="20" w:before="20"/>
              <w:ind w:firstLine="0"/>
              <w:jc w:val="left"/>
            </w:pPr>
            <w:r>
              <w:rPr>
                <w:rFonts w:ascii="Times New Roman" w:hAnsi="Times New Roman" w:eastAsia="Times New Roman"/>
                <w:b w:val="0"/>
                <w:i w:val="0"/>
                <w:sz w:val="18"/>
              </w:rPr>
              <w:t>T-07, T-08</w:t>
            </w:r>
          </w:p>
        </w:tc>
      </w:tr>
      <w:tr>
        <w:trPr>
          <w:cantSplit/>
        </w:trPr>
        <w:tc>
          <w:tcPr>
            <w:tcW w:type="dxa" w:w="4914"/>
            <w:vAlign w:val="center"/>
          </w:tcPr>
          <w:p>
            <w:pPr>
              <w:spacing w:after="20" w:before="20"/>
              <w:ind w:firstLine="0"/>
              <w:jc w:val="left"/>
            </w:pPr>
            <w:r>
              <w:rPr>
                <w:rFonts w:ascii="Times New Roman" w:hAnsi="Times New Roman" w:eastAsia="Times New Roman"/>
                <w:b w:val="0"/>
                <w:i w:val="0"/>
                <w:sz w:val="18"/>
              </w:rPr>
              <w:t>Row/column contract</w:t>
            </w:r>
          </w:p>
        </w:tc>
        <w:tc>
          <w:tcPr>
            <w:tcW w:type="dxa" w:w="4722"/>
            <w:vAlign w:val="center"/>
          </w:tcPr>
          <w:p>
            <w:pPr>
              <w:spacing w:after="20" w:before="20"/>
              <w:ind w:firstLine="0"/>
              <w:jc w:val="left"/>
            </w:pPr>
            <w:r>
              <w:rPr>
                <w:rFonts w:ascii="Times New Roman" w:hAnsi="Times New Roman" w:eastAsia="Times New Roman"/>
                <w:b w:val="0"/>
                <w:i w:val="0"/>
                <w:sz w:val="18"/>
              </w:rPr>
              <w:t>T-03–T-06</w:t>
            </w:r>
          </w:p>
        </w:tc>
      </w:tr>
      <w:tr>
        <w:trPr>
          <w:cantSplit/>
        </w:trPr>
        <w:tc>
          <w:tcPr>
            <w:tcW w:type="dxa" w:w="4914"/>
            <w:vAlign w:val="center"/>
          </w:tcPr>
          <w:p>
            <w:pPr>
              <w:spacing w:after="20" w:before="20"/>
              <w:ind w:firstLine="0"/>
              <w:jc w:val="left"/>
            </w:pPr>
            <w:r>
              <w:rPr>
                <w:rFonts w:ascii="Times New Roman" w:hAnsi="Times New Roman" w:eastAsia="Times New Roman"/>
                <w:b w:val="0"/>
                <w:i w:val="0"/>
                <w:sz w:val="18"/>
              </w:rPr>
              <w:t>Reproducible bootstrap and restart</w:t>
            </w:r>
          </w:p>
        </w:tc>
        <w:tc>
          <w:tcPr>
            <w:tcW w:type="dxa" w:w="4722"/>
            <w:vAlign w:val="center"/>
          </w:tcPr>
          <w:p>
            <w:pPr>
              <w:spacing w:after="20" w:before="20"/>
              <w:ind w:firstLine="0"/>
              <w:jc w:val="left"/>
            </w:pPr>
            <w:r>
              <w:rPr>
                <w:rFonts w:ascii="Times New Roman" w:hAnsi="Times New Roman" w:eastAsia="Times New Roman"/>
                <w:b w:val="0"/>
                <w:i w:val="0"/>
                <w:sz w:val="18"/>
              </w:rPr>
              <w:t>T-24–T-27</w:t>
            </w:r>
          </w:p>
        </w:tc>
      </w:tr>
      <w:tr>
        <w:trPr>
          <w:cantSplit/>
        </w:trPr>
        <w:tc>
          <w:tcPr>
            <w:tcW w:type="dxa" w:w="4914"/>
            <w:vAlign w:val="center"/>
          </w:tcPr>
          <w:p>
            <w:pPr>
              <w:spacing w:after="20" w:before="20"/>
              <w:ind w:firstLine="0"/>
              <w:jc w:val="left"/>
            </w:pPr>
            <w:r>
              <w:rPr>
                <w:rFonts w:ascii="Times New Roman" w:hAnsi="Times New Roman" w:eastAsia="Times New Roman"/>
                <w:b w:val="0"/>
                <w:i w:val="0"/>
                <w:sz w:val="18"/>
              </w:rPr>
              <w:t>Completeness of audit fields and absence of sensitive payload</w:t>
            </w:r>
          </w:p>
        </w:tc>
        <w:tc>
          <w:tcPr>
            <w:tcW w:type="dxa" w:w="4722"/>
            <w:vAlign w:val="center"/>
          </w:tcPr>
          <w:p>
            <w:pPr>
              <w:spacing w:after="20" w:before="20"/>
              <w:ind w:firstLine="0"/>
              <w:jc w:val="left"/>
            </w:pPr>
            <w:r>
              <w:rPr>
                <w:rFonts w:ascii="Times New Roman" w:hAnsi="Times New Roman" w:eastAsia="Times New Roman"/>
                <w:b w:val="0"/>
                <w:i w:val="0"/>
                <w:sz w:val="18"/>
              </w:rPr>
              <w:t>T-23</w:t>
            </w:r>
          </w:p>
        </w:tc>
      </w:tr>
      <w:tr>
        <w:trPr>
          <w:cantSplit/>
        </w:trPr>
        <w:tc>
          <w:tcPr>
            <w:tcW w:type="dxa" w:w="4914"/>
            <w:vAlign w:val="center"/>
          </w:tcPr>
          <w:p>
            <w:pPr>
              <w:spacing w:after="20" w:before="20"/>
              <w:ind w:firstLine="0"/>
              <w:jc w:val="left"/>
            </w:pPr>
            <w:r>
              <w:rPr>
                <w:rFonts w:ascii="Times New Roman" w:hAnsi="Times New Roman" w:eastAsia="Times New Roman"/>
                <w:b w:val="0"/>
                <w:i w:val="0"/>
                <w:sz w:val="18"/>
              </w:rPr>
              <w:t>Performance overhead gateway</w:t>
            </w:r>
          </w:p>
        </w:tc>
        <w:tc>
          <w:tcPr>
            <w:tcW w:type="dxa" w:w="4722"/>
            <w:vAlign w:val="center"/>
          </w:tcPr>
          <w:p>
            <w:pPr>
              <w:spacing w:after="20" w:before="20"/>
              <w:ind w:firstLine="0"/>
              <w:jc w:val="left"/>
            </w:pPr>
            <w:r>
              <w:rPr>
                <w:rFonts w:ascii="Times New Roman" w:hAnsi="Times New Roman" w:eastAsia="Times New Roman"/>
                <w:b w:val="0"/>
                <w:i w:val="0"/>
                <w:sz w:val="18"/>
              </w:rPr>
              <w:t>median, p95, and observed overhead using the method in §3.14</w:t>
            </w:r>
          </w:p>
        </w:tc>
      </w:tr>
    </w:tbl>
    <w:p>
      <w:pPr>
        <w:spacing w:after="20"/>
        <w:ind w:firstLine="0"/>
      </w:pPr>
    </w:p>
    <w:p>
      <w:r>
        <w:rPr>
          <w:rFonts w:ascii="Times New Roman" w:hAnsi="Times New Roman" w:eastAsia="Times New Roman"/>
          <w:b w:val="0"/>
          <w:i w:val="0"/>
          <w:sz w:val="24"/>
        </w:rPr>
        <w:t>The acceptance-suite criterion is that 100% of mandatory T-01-T-27 pass. This does not imply a requirement for 100% code coverage.</w:t>
      </w:r>
    </w:p>
    <w:p>
      <w:r>
        <w:rPr>
          <w:rFonts w:ascii="Times New Roman" w:hAnsi="Times New Roman" w:eastAsia="Times New Roman"/>
          <w:b w:val="0"/>
          <w:i w:val="0"/>
          <w:sz w:val="24"/>
        </w:rPr>
        <w:t>Performance indicators have no predefined SLA. The value of v0.1 is to obtain a reproducible baseline and measured overhead so that subsequent optimization decisions can be based on data.</w:t>
      </w:r>
    </w:p>
    <w:p>
      <w:pPr>
        <w:pStyle w:val="PZHeading2"/>
        <w:ind w:firstLine="0"/>
      </w:pPr>
      <w:r>
        <w:rPr>
          <w:rFonts w:ascii="Times New Roman" w:hAnsi="Times New Roman" w:eastAsia="Times New Roman"/>
          <w:b/>
          <w:i w:val="0"/>
          <w:sz w:val="26"/>
        </w:rPr>
        <w:t>4.3. Expected engineering effect of the selected option</w:t>
      </w:r>
    </w:p>
    <w:p>
      <w:r>
        <w:rPr>
          <w:rFonts w:ascii="Times New Roman" w:hAnsi="Times New Roman" w:eastAsia="Times New Roman"/>
          <w:b w:val="0"/>
          <w:i w:val="0"/>
          <w:sz w:val="24"/>
        </w:rPr>
        <w:t>Compared with giving AI direct database credentials, the expected effect is a smaller trust surface: the Actor does not know the database password, does not construct arbitrary SQL, and cannot independently select an arbitrary DB object. Authorization becomes centralized and deterministic, and actions receive mandatory Subject + Actor attribution.</w:t>
      </w:r>
    </w:p>
    <w:p>
      <w:r>
        <w:rPr>
          <w:rFonts w:ascii="Times New Roman" w:hAnsi="Times New Roman" w:eastAsia="Times New Roman"/>
          <w:b w:val="0"/>
          <w:i w:val="0"/>
          <w:sz w:val="24"/>
        </w:rPr>
        <w:t>Compared with a separate hand-built API for each agent, the PDG architectural hypothesis assumes reuse of one Published Resource, delegation, policy, audit, and database-boundary mechanism. In v0.1 this is not translated into a claimed saving of engineering hours because no such measurements exist yet; the technical prerequisite for reuse is what is being verified.</w:t>
      </w:r>
      <w:r>
        <w:rPr>
          <w:rFonts w:ascii="Times New Roman" w:hAnsi="Times New Roman" w:eastAsia="Times New Roman"/>
          <w:b/>
          <w:i w:val="0"/>
          <w:sz w:val="24"/>
        </w:rPr>
      </w:r>
      <w:r>
        <w:rPr>
          <w:rFonts w:ascii="Times New Roman" w:hAnsi="Times New Roman" w:eastAsia="Times New Roman"/>
          <w:b w:val="0"/>
          <w:i w:val="0"/>
          <w:sz w:val="24"/>
        </w:rPr>
      </w:r>
    </w:p>
    <w:p>
      <w:r>
        <w:rPr>
          <w:rFonts w:ascii="Times New Roman" w:hAnsi="Times New Roman" w:eastAsia="Times New Roman"/>
          <w:b w:val="0"/>
          <w:i w:val="0"/>
          <w:sz w:val="24"/>
        </w:rPr>
        <w:t>The self-hosted approach removes a mandatory dependency of the core function on external SaaS and lets the owner choose its own infrastructure. This does not automatically reduce total cost of ownership: self-operation has its own cost. v0.1 compares architectural controllability, not vendor pricing.</w:t>
      </w:r>
    </w:p>
    <w:p>
      <w:pPr>
        <w:pStyle w:val="PZHeading2"/>
        <w:ind w:firstLine="0"/>
      </w:pPr>
      <w:r>
        <w:rPr>
          <w:rFonts w:ascii="Times New Roman" w:hAnsi="Times New Roman" w:eastAsia="Times New Roman"/>
          <w:b/>
          <w:i w:val="0"/>
          <w:sz w:val="26"/>
        </w:rPr>
        <w:t>4.4. Economic meaning of comparison with analogues</w:t>
      </w:r>
    </w:p>
    <w:p>
      <w:r>
        <w:rPr>
          <w:rFonts w:ascii="Times New Roman" w:hAnsi="Times New Roman" w:eastAsia="Times New Roman"/>
          <w:b w:val="0"/>
          <w:i w:val="0"/>
          <w:sz w:val="24"/>
        </w:rPr>
        <w:t>The existing market and open-source landscape show that organizations already invest in agent identity, gateway governance, masking, audit, and secure database access. The problem class is therefore real and was not created solely for PDG.</w:t>
      </w:r>
    </w:p>
    <w:p>
      <w:r>
        <w:rPr>
          <w:rFonts w:ascii="Times New Roman" w:hAnsi="Times New Roman" w:eastAsia="Times New Roman"/>
          <w:b w:val="0"/>
          <w:i w:val="0"/>
          <w:sz w:val="24"/>
        </w:rPr>
        <w:t>At the same time, direct financial comparison of PDG with DBShifts, Midplane, Snowflake, TrueFoundry, or Microsoft Agent 365 would be incorrect: the products differ in scope, deployment model, maturity, support, and commercial model. This Explanatory Note uses them for technical comparison of architectural characteristics, not for unproven claims that "PDG is cheaper" or "PDG is better."</w:t>
      </w:r>
    </w:p>
    <w:p>
      <w:pPr>
        <w:pStyle w:val="PZHeading2"/>
        <w:ind w:firstLine="0"/>
      </w:pPr>
      <w:r>
        <w:rPr>
          <w:rFonts w:ascii="Times New Roman" w:hAnsi="Times New Roman" w:eastAsia="Times New Roman"/>
          <w:b/>
          <w:i w:val="0"/>
          <w:sz w:val="26"/>
        </w:rPr>
        <w:t>4.5. Limitation of economic claims</w:t>
      </w:r>
    </w:p>
    <w:p>
      <w:r>
        <w:rPr>
          <w:rFonts w:ascii="Times New Roman" w:hAnsi="Times New Roman" w:eastAsia="Times New Roman"/>
          <w:b w:val="0"/>
          <w:i w:val="0"/>
          <w:sz w:val="24"/>
        </w:rPr>
        <w:t>This stage does not have reliable data for quantitative calculation of ROI, market size, revenue forecast, valuation, funding requirements, expected annual demand, or future cost of industrial operation. Such numbers are not introduced artificially.</w:t>
      </w:r>
    </w:p>
    <w:p>
      <w:r>
        <w:rPr>
          <w:rFonts w:ascii="Times New Roman" w:hAnsi="Times New Roman" w:eastAsia="Times New Roman"/>
          <w:b w:val="0"/>
          <w:i w:val="0"/>
          <w:sz w:val="24"/>
        </w:rPr>
        <w:t>After v0.1, technical data will exist - implementation effort, environment operating resources, performance overhead, and acceptance results. They may become input data for a separate technical-economic analysis of a subsequent stage.</w:t>
      </w:r>
    </w:p>
    <w:p>
      <w:pPr>
        <w:pStyle w:val="PZHeading1"/>
        <w:ind w:firstLine="0"/>
      </w:pPr>
      <w:r>
        <w:rPr>
          <w:rFonts w:ascii="Times New Roman" w:hAnsi="Times New Roman" w:eastAsia="Times New Roman"/>
          <w:b/>
          <w:i w:val="0"/>
          <w:sz w:val="30"/>
        </w:rPr>
        <w:t>5. Sources Used in Development</w:t>
      </w:r>
    </w:p>
    <w:p>
      <w:r>
        <w:rPr>
          <w:rFonts w:ascii="Times New Roman" w:hAnsi="Times New Roman" w:eastAsia="Times New Roman"/>
          <w:b w:val="0"/>
          <w:i w:val="0"/>
          <w:sz w:val="24"/>
        </w:rPr>
        <w:t>The normative/technical documents and primary technical materials on which this Explanatory Note is based are listed below. For public web sources, the control review date is 28 Aug 2026 unless otherwise stated.</w:t>
      </w:r>
    </w:p>
    <w:p>
      <w:pPr>
        <w:pStyle w:val="PZList"/>
        <w:ind w:left="454" w:hanging="283"/>
      </w:pPr>
      <w:r>
        <w:rPr>
          <w:rFonts w:ascii="Times New Roman" w:hAnsi="Times New Roman" w:eastAsia="Times New Roman"/>
          <w:sz w:val="24"/>
        </w:rPr>
        <w:t>1. Perimeter Data Gateway. Technical Requirements v0.1. Approved by Andrii Nikolaiev on 27 Aug 2026. Internal project document docs/technical-requirements-v0.1.md.</w:t>
      </w:r>
      <w:r>
        <w:rPr>
          <w:rFonts w:ascii="Times New Roman" w:hAnsi="Times New Roman" w:eastAsia="Times New Roman"/>
          <w:b/>
          <w:i w:val="0"/>
          <w:sz w:val="24"/>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2. GOST 19.404-79. Unified System for Program Documentation. Explanatory Note. Content and formatting requirements.</w:t>
      </w:r>
      <w:r>
        <w:rPr>
          <w:rFonts w:ascii="Times New Roman" w:hAnsi="Times New Roman" w:eastAsia="Times New Roman"/>
          <w:b/>
          <w:i w:val="0"/>
          <w:sz w:val="24"/>
        </w:rPr>
      </w:r>
    </w:p>
    <w:p>
      <w:pPr>
        <w:pStyle w:val="PZList"/>
        <w:ind w:left="454" w:hanging="283"/>
      </w:pPr>
      <w:r>
        <w:rPr>
          <w:rFonts w:ascii="Times New Roman" w:hAnsi="Times New Roman" w:eastAsia="Times New Roman"/>
          <w:sz w:val="24"/>
        </w:rPr>
        <w:t xml:space="preserve">3. </w:t>
      </w:r>
      <w:r>
        <w:rPr>
          <w:rFonts w:ascii="Times New Roman" w:hAnsi="Times New Roman" w:eastAsia="Times New Roman"/>
          <w:b/>
          <w:i w:val="0"/>
          <w:sz w:val="24"/>
        </w:rPr>
        <w:t>RFC 8693 — OAuth 2.0 Token Exchange.</w:t>
      </w:r>
      <w:r>
        <w:rPr>
          <w:rFonts w:ascii="Times New Roman" w:hAnsi="Times New Roman" w:eastAsia="Times New Roman"/>
          <w:b w:val="0"/>
          <w:i w:val="0"/>
          <w:sz w:val="24"/>
        </w:rPr>
        <w:t xml:space="preserve"> https://www.rfc-editor.org/rfc/rfc8693</w:t>
      </w:r>
    </w:p>
    <w:p>
      <w:pPr>
        <w:pStyle w:val="PZList"/>
        <w:ind w:left="454" w:hanging="283"/>
      </w:pPr>
      <w:r>
        <w:rPr>
          <w:rFonts w:ascii="Times New Roman" w:hAnsi="Times New Roman" w:eastAsia="Times New Roman"/>
          <w:sz w:val="24"/>
        </w:rPr>
        <w:t xml:space="preserve">4. </w:t>
      </w:r>
      <w:r>
        <w:rPr>
          <w:rFonts w:ascii="Times New Roman" w:hAnsi="Times New Roman" w:eastAsia="Times New Roman"/>
          <w:b/>
          <w:i w:val="0"/>
          <w:sz w:val="24"/>
        </w:rPr>
        <w:t>RFC 7519 — JSON Web Token (JWT).</w:t>
      </w:r>
      <w:r>
        <w:rPr>
          <w:rFonts w:ascii="Times New Roman" w:hAnsi="Times New Roman" w:eastAsia="Times New Roman"/>
          <w:b w:val="0"/>
          <w:i w:val="0"/>
          <w:sz w:val="24"/>
        </w:rPr>
        <w:t xml:space="preserve"> https://www.rfc-editor.org/rfc/rfc7519</w:t>
      </w:r>
    </w:p>
    <w:p>
      <w:pPr>
        <w:pStyle w:val="PZList"/>
        <w:ind w:left="454" w:hanging="283"/>
      </w:pPr>
      <w:r>
        <w:rPr>
          <w:rFonts w:ascii="Times New Roman" w:hAnsi="Times New Roman" w:eastAsia="Times New Roman"/>
          <w:sz w:val="24"/>
        </w:rPr>
        <w:t xml:space="preserve">5. </w:t>
      </w:r>
      <w:r>
        <w:rPr>
          <w:rFonts w:ascii="Times New Roman" w:hAnsi="Times New Roman" w:eastAsia="Times New Roman"/>
          <w:b/>
          <w:i w:val="0"/>
          <w:sz w:val="24"/>
        </w:rPr>
        <w:t>Chinook Database — official repository.</w:t>
      </w:r>
      <w:r>
        <w:rPr>
          <w:rFonts w:ascii="Times New Roman" w:hAnsi="Times New Roman" w:eastAsia="Times New Roman"/>
          <w:b w:val="0"/>
          <w:i w:val="0"/>
          <w:sz w:val="24"/>
        </w:rPr>
        <w:t xml:space="preserve"> https://github.com/lerocha/chinook-database</w:t>
      </w:r>
    </w:p>
    <w:p>
      <w:pPr>
        <w:pStyle w:val="PZList"/>
        <w:ind w:left="454" w:hanging="283"/>
      </w:pPr>
      <w:r>
        <w:rPr>
          <w:rFonts w:ascii="Times New Roman" w:hAnsi="Times New Roman" w:eastAsia="Times New Roman"/>
          <w:sz w:val="24"/>
        </w:rPr>
        <w:t xml:space="preserve">6. </w:t>
      </w:r>
      <w:r>
        <w:rPr>
          <w:rFonts w:ascii="Times New Roman" w:hAnsi="Times New Roman" w:eastAsia="Times New Roman"/>
          <w:b/>
          <w:i w:val="0"/>
          <w:sz w:val="24"/>
        </w:rPr>
        <w:t>PostgreSQL Documentation — Database Roles.</w:t>
      </w:r>
      <w:r>
        <w:rPr>
          <w:rFonts w:ascii="Times New Roman" w:hAnsi="Times New Roman" w:eastAsia="Times New Roman"/>
          <w:b w:val="0"/>
          <w:i w:val="0"/>
          <w:sz w:val="24"/>
        </w:rPr>
        <w:t xml:space="preserve"> https://www.postgresql.org/docs/current/user-manag.html</w:t>
      </w:r>
    </w:p>
    <w:p>
      <w:pPr>
        <w:pStyle w:val="PZList"/>
        <w:ind w:left="454" w:hanging="283"/>
      </w:pPr>
      <w:r>
        <w:rPr>
          <w:rFonts w:ascii="Times New Roman" w:hAnsi="Times New Roman" w:eastAsia="Times New Roman"/>
          <w:sz w:val="24"/>
        </w:rPr>
        <w:t xml:space="preserve">7. </w:t>
      </w:r>
      <w:r>
        <w:rPr>
          <w:rFonts w:ascii="Times New Roman" w:hAnsi="Times New Roman" w:eastAsia="Times New Roman"/>
          <w:b/>
          <w:i w:val="0"/>
          <w:sz w:val="24"/>
        </w:rPr>
        <w:t>PostgreSQL Documentation — Privileges.</w:t>
      </w:r>
      <w:r>
        <w:rPr>
          <w:rFonts w:ascii="Times New Roman" w:hAnsi="Times New Roman" w:eastAsia="Times New Roman"/>
          <w:b w:val="0"/>
          <w:i w:val="0"/>
          <w:sz w:val="24"/>
        </w:rPr>
        <w:t xml:space="preserve"> https://www.postgresql.org/docs/current/ddl-priv.html</w:t>
      </w:r>
    </w:p>
    <w:p>
      <w:pPr>
        <w:pStyle w:val="PZList"/>
        <w:ind w:left="454" w:hanging="283"/>
      </w:pPr>
      <w:r>
        <w:rPr>
          <w:rFonts w:ascii="Times New Roman" w:hAnsi="Times New Roman" w:eastAsia="Times New Roman"/>
          <w:sz w:val="24"/>
        </w:rPr>
        <w:t xml:space="preserve">8. </w:t>
      </w:r>
      <w:r>
        <w:rPr>
          <w:rFonts w:ascii="Times New Roman" w:hAnsi="Times New Roman" w:eastAsia="Times New Roman"/>
          <w:b/>
          <w:i w:val="0"/>
          <w:sz w:val="24"/>
        </w:rPr>
        <w:t>Microsoft Learn — Entity Framework Core Database Providers.</w:t>
      </w:r>
      <w:r>
        <w:rPr>
          <w:rFonts w:ascii="Times New Roman" w:hAnsi="Times New Roman" w:eastAsia="Times New Roman"/>
          <w:b w:val="0"/>
          <w:i w:val="0"/>
          <w:sz w:val="24"/>
        </w:rPr>
        <w:t xml:space="preserve"> https://learn.microsoft.com/en-us/ef/core/providers/</w:t>
      </w:r>
    </w:p>
    <w:p>
      <w:pPr>
        <w:pStyle w:val="PZList"/>
        <w:ind w:left="454" w:hanging="283"/>
      </w:pPr>
      <w:r>
        <w:rPr>
          <w:rFonts w:ascii="Times New Roman" w:hAnsi="Times New Roman" w:eastAsia="Times New Roman"/>
          <w:sz w:val="24"/>
        </w:rPr>
        <w:t xml:space="preserve">9. </w:t>
      </w:r>
      <w:r>
        <w:rPr>
          <w:rFonts w:ascii="Times New Roman" w:hAnsi="Times New Roman" w:eastAsia="Times New Roman"/>
          <w:b/>
          <w:i w:val="0"/>
          <w:sz w:val="24"/>
        </w:rPr>
        <w:t>Npgsql Documentation — Entity Framework Core Provider.</w:t>
      </w:r>
      <w:r>
        <w:rPr>
          <w:rFonts w:ascii="Times New Roman" w:hAnsi="Times New Roman" w:eastAsia="Times New Roman"/>
          <w:b w:val="0"/>
          <w:i w:val="0"/>
          <w:sz w:val="24"/>
        </w:rPr>
        <w:t xml:space="preserve"> https://www.npgsql.org/efcore/</w:t>
      </w:r>
    </w:p>
    <w:p>
      <w:pPr>
        <w:pStyle w:val="PZList"/>
        <w:ind w:left="454" w:hanging="283"/>
      </w:pPr>
      <w:r>
        <w:rPr>
          <w:rFonts w:ascii="Times New Roman" w:hAnsi="Times New Roman" w:eastAsia="Times New Roman"/>
          <w:sz w:val="24"/>
        </w:rPr>
        <w:t xml:space="preserve">10. </w:t>
      </w:r>
      <w:r>
        <w:rPr>
          <w:rFonts w:ascii="Times New Roman" w:hAnsi="Times New Roman" w:eastAsia="Times New Roman"/>
          <w:b/>
          <w:i w:val="0"/>
          <w:sz w:val="24"/>
        </w:rPr>
        <w:t>Docker Documentation — Docker Compose.</w:t>
      </w:r>
      <w:r>
        <w:rPr>
          <w:rFonts w:ascii="Times New Roman" w:hAnsi="Times New Roman" w:eastAsia="Times New Roman"/>
          <w:b w:val="0"/>
          <w:i w:val="0"/>
          <w:sz w:val="24"/>
        </w:rPr>
        <w:t xml:space="preserve"> https://docs.docker.com/compose/</w:t>
      </w:r>
    </w:p>
    <w:p>
      <w:pPr>
        <w:pStyle w:val="PZList"/>
        <w:ind w:left="454" w:hanging="283"/>
      </w:pPr>
      <w:r>
        <w:rPr>
          <w:rFonts w:ascii="Times New Roman" w:hAnsi="Times New Roman" w:eastAsia="Times New Roman"/>
          <w:sz w:val="24"/>
        </w:rPr>
        <w:t xml:space="preserve">11. </w:t>
      </w:r>
      <w:r>
        <w:rPr>
          <w:rFonts w:ascii="Times New Roman" w:hAnsi="Times New Roman" w:eastAsia="Times New Roman"/>
          <w:b/>
          <w:i w:val="0"/>
          <w:sz w:val="24"/>
        </w:rPr>
        <w:t>DBShifts — Agent Gateway.</w:t>
      </w:r>
      <w:r>
        <w:rPr>
          <w:rFonts w:ascii="Times New Roman" w:hAnsi="Times New Roman" w:eastAsia="Times New Roman"/>
          <w:b w:val="0"/>
          <w:i w:val="0"/>
          <w:sz w:val="24"/>
        </w:rPr>
        <w:t xml:space="preserve"> https://dbshifts.com/agent-gateway</w:t>
      </w:r>
    </w:p>
    <w:p>
      <w:pPr>
        <w:pStyle w:val="PZList"/>
        <w:ind w:left="454" w:hanging="283"/>
      </w:pPr>
      <w:r>
        <w:rPr>
          <w:rFonts w:ascii="Times New Roman" w:hAnsi="Times New Roman" w:eastAsia="Times New Roman"/>
          <w:sz w:val="24"/>
        </w:rPr>
        <w:t xml:space="preserve">12. </w:t>
      </w:r>
      <w:r>
        <w:rPr>
          <w:rFonts w:ascii="Times New Roman" w:hAnsi="Times New Roman" w:eastAsia="Times New Roman"/>
          <w:b/>
          <w:i w:val="0"/>
          <w:sz w:val="24"/>
        </w:rPr>
        <w:t>Midplane — Safe Postgres for AI agents.</w:t>
      </w:r>
      <w:r>
        <w:rPr>
          <w:rFonts w:ascii="Times New Roman" w:hAnsi="Times New Roman" w:eastAsia="Times New Roman"/>
          <w:b w:val="0"/>
          <w:i w:val="0"/>
          <w:sz w:val="24"/>
        </w:rPr>
        <w:t xml:space="preserve"> https://midplane.ai/</w:t>
      </w:r>
    </w:p>
    <w:p>
      <w:pPr>
        <w:pStyle w:val="PZList"/>
        <w:ind w:left="454" w:hanging="283"/>
      </w:pPr>
      <w:r>
        <w:rPr>
          <w:rFonts w:ascii="Times New Roman" w:hAnsi="Times New Roman" w:eastAsia="Times New Roman"/>
          <w:sz w:val="24"/>
        </w:rPr>
        <w:t xml:space="preserve">13. </w:t>
      </w:r>
      <w:r>
        <w:rPr>
          <w:rFonts w:ascii="Times New Roman" w:hAnsi="Times New Roman" w:eastAsia="Times New Roman"/>
          <w:b/>
          <w:i w:val="0"/>
          <w:sz w:val="24"/>
        </w:rPr>
        <w:t>TrueFoundry — Agent Identity and Delegation.</w:t>
      </w:r>
      <w:r>
        <w:rPr>
          <w:rFonts w:ascii="Times New Roman" w:hAnsi="Times New Roman" w:eastAsia="Times New Roman"/>
          <w:b w:val="0"/>
          <w:i w:val="0"/>
          <w:sz w:val="24"/>
        </w:rPr>
        <w:t xml:space="preserve"> https://www.truefoundry.com/docs/ai-gateway/agents/agent-identity-obo</w:t>
      </w:r>
    </w:p>
    <w:p>
      <w:pPr>
        <w:pStyle w:val="PZList"/>
        <w:ind w:left="454" w:hanging="283"/>
      </w:pPr>
      <w:r>
        <w:rPr>
          <w:rFonts w:ascii="Times New Roman" w:hAnsi="Times New Roman" w:eastAsia="Times New Roman"/>
          <w:sz w:val="24"/>
        </w:rPr>
        <w:t xml:space="preserve">14. </w:t>
      </w:r>
      <w:r>
        <w:rPr>
          <w:rFonts w:ascii="Times New Roman" w:hAnsi="Times New Roman" w:eastAsia="Times New Roman"/>
          <w:b/>
          <w:i w:val="0"/>
          <w:sz w:val="24"/>
        </w:rPr>
        <w:t>Cerbos — AI Gateway Authorization.</w:t>
      </w:r>
      <w:r>
        <w:rPr>
          <w:rFonts w:ascii="Times New Roman" w:hAnsi="Times New Roman" w:eastAsia="Times New Roman"/>
          <w:b w:val="0"/>
          <w:i w:val="0"/>
          <w:sz w:val="24"/>
        </w:rPr>
        <w:t xml:space="preserve"> https://www.cerbos.dev/features-benefits-and-use-cases/ai-gateway-authorization</w:t>
      </w:r>
    </w:p>
    <w:p>
      <w:pPr>
        <w:pStyle w:val="PZList"/>
        <w:ind w:left="454" w:hanging="283"/>
      </w:pPr>
      <w:r>
        <w:rPr>
          <w:rFonts w:ascii="Times New Roman" w:hAnsi="Times New Roman" w:eastAsia="Times New Roman"/>
          <w:sz w:val="24"/>
        </w:rPr>
        <w:t xml:space="preserve">15. </w:t>
      </w:r>
      <w:r>
        <w:rPr>
          <w:rFonts w:ascii="Times New Roman" w:hAnsi="Times New Roman" w:eastAsia="Times New Roman"/>
          <w:b/>
          <w:i w:val="0"/>
          <w:sz w:val="24"/>
        </w:rPr>
        <w:t>Microsoft Learn — Agent 365 identity.</w:t>
      </w:r>
      <w:r>
        <w:rPr>
          <w:rFonts w:ascii="Times New Roman" w:hAnsi="Times New Roman" w:eastAsia="Times New Roman"/>
          <w:b w:val="0"/>
          <w:i w:val="0"/>
          <w:sz w:val="24"/>
        </w:rPr>
        <w:t xml:space="preserve"> https://learn.microsoft.com/en-us/microsoft-agent-365/developer/identity</w:t>
      </w:r>
    </w:p>
    <w:p>
      <w:pPr>
        <w:pStyle w:val="PZList"/>
        <w:ind w:left="454" w:hanging="283"/>
      </w:pPr>
      <w:r>
        <w:rPr>
          <w:rFonts w:ascii="Times New Roman" w:hAnsi="Times New Roman" w:eastAsia="Times New Roman"/>
          <w:sz w:val="24"/>
        </w:rPr>
        <w:t xml:space="preserve">16. </w:t>
      </w:r>
      <w:r>
        <w:rPr>
          <w:rFonts w:ascii="Times New Roman" w:hAnsi="Times New Roman" w:eastAsia="Times New Roman"/>
          <w:b/>
          <w:i w:val="0"/>
          <w:sz w:val="24"/>
        </w:rPr>
        <w:t>Snowflake Documentation — Agent identity.</w:t>
      </w:r>
      <w:r>
        <w:rPr>
          <w:rFonts w:ascii="Times New Roman" w:hAnsi="Times New Roman" w:eastAsia="Times New Roman"/>
          <w:b w:val="0"/>
          <w:i w:val="0"/>
          <w:sz w:val="24"/>
        </w:rPr>
        <w:t xml:space="preserve"> https://docs.snowflake.com/en/user-guide/agent-identity</w:t>
      </w:r>
    </w:p>
    <w:p>
      <w:pPr>
        <w:pStyle w:val="PZList"/>
        <w:ind w:left="454" w:hanging="283"/>
      </w:pPr>
      <w:r>
        <w:rPr>
          <w:rFonts w:ascii="Times New Roman" w:hAnsi="Times New Roman" w:eastAsia="Times New Roman"/>
          <w:sz w:val="24"/>
        </w:rPr>
        <w:t xml:space="preserve">17. </w:t>
      </w:r>
      <w:r>
        <w:rPr>
          <w:rFonts w:ascii="Times New Roman" w:hAnsi="Times New Roman" w:eastAsia="Times New Roman"/>
          <w:b/>
          <w:i w:val="0"/>
          <w:sz w:val="24"/>
        </w:rPr>
        <w:t>Snowflake — Cortex AI Gateway / trusted agentic enterprise announcement, 28.07.2026.</w:t>
      </w:r>
      <w:r>
        <w:rPr>
          <w:rFonts w:ascii="Times New Roman" w:hAnsi="Times New Roman" w:eastAsia="Times New Roman"/>
          <w:b w:val="0"/>
          <w:i w:val="0"/>
          <w:sz w:val="24"/>
        </w:rPr>
        <w:t xml:space="preserve"> https://www.snowflake.com/en/news/press-releases/snowflake-advances-the-trusted-agentic-enterprise-era-with-unified-monitoring-and-cost-management/</w:t>
      </w:r>
    </w:p>
    <w:p>
      <w:pPr>
        <w:pStyle w:val="PZList"/>
        <w:ind w:left="454" w:hanging="283"/>
      </w:pPr>
      <w:r>
        <w:rPr>
          <w:rFonts w:ascii="Times New Roman" w:hAnsi="Times New Roman" w:eastAsia="Times New Roman"/>
          <w:sz w:val="24"/>
        </w:rPr>
        <w:t xml:space="preserve">18. </w:t>
      </w:r>
      <w:r>
        <w:rPr>
          <w:rFonts w:ascii="Times New Roman" w:hAnsi="Times New Roman" w:eastAsia="Times New Roman"/>
          <w:b/>
          <w:i w:val="0"/>
          <w:sz w:val="24"/>
        </w:rPr>
        <w:t>OpenFGA — AI Agent Authorization.</w:t>
      </w:r>
      <w:r>
        <w:rPr>
          <w:rFonts w:ascii="Times New Roman" w:hAnsi="Times New Roman" w:eastAsia="Times New Roman"/>
          <w:b w:val="0"/>
          <w:i w:val="0"/>
          <w:sz w:val="24"/>
        </w:rPr>
        <w:t xml:space="preserve"> https://openfga.dev/docs/use-cases/ai-agent-authorization</w:t>
      </w:r>
    </w:p>
    <w:p>
      <w:pPr>
        <w:pStyle w:val="PZList"/>
        <w:ind w:left="454" w:hanging="283"/>
      </w:pPr>
      <w:r>
        <w:rPr>
          <w:rFonts w:ascii="Times New Roman" w:hAnsi="Times New Roman" w:eastAsia="Times New Roman"/>
          <w:sz w:val="24"/>
        </w:rPr>
        <w:t xml:space="preserve">19. </w:t>
      </w:r>
      <w:r>
        <w:rPr>
          <w:rFonts w:ascii="Times New Roman" w:hAnsi="Times New Roman" w:eastAsia="Times New Roman"/>
          <w:b/>
          <w:i w:val="0"/>
          <w:sz w:val="24"/>
        </w:rPr>
        <w:t>PostgREST — Database Authorization.</w:t>
      </w:r>
      <w:r>
        <w:rPr>
          <w:rFonts w:ascii="Times New Roman" w:hAnsi="Times New Roman" w:eastAsia="Times New Roman"/>
          <w:b w:val="0"/>
          <w:i w:val="0"/>
          <w:sz w:val="24"/>
        </w:rPr>
        <w:t xml:space="preserve"> https://postgrest.org/en/stable/explanations/db_authz.html</w:t>
      </w:r>
    </w:p>
    <w:p>
      <w:pPr>
        <w:pStyle w:val="PZList"/>
        <w:ind w:left="454" w:hanging="283"/>
      </w:pPr>
      <w:r>
        <w:rPr>
          <w:rFonts w:ascii="Times New Roman" w:hAnsi="Times New Roman" w:eastAsia="Times New Roman"/>
          <w:sz w:val="24"/>
        </w:rPr>
        <w:t>20. GOST 19.201-78. Unified System for Program Documentation. Technical Requirements. Content and formatting requirements.</w:t>
      </w:r>
      <w:r>
        <w:rPr>
          <w:rFonts w:ascii="Times New Roman" w:hAnsi="Times New Roman" w:eastAsia="Times New Roman"/>
          <w:b/>
          <w:i w:val="0"/>
          <w:sz w:val="24"/>
        </w:rPr>
      </w:r>
    </w:p>
    <w:p>
      <w:pPr>
        <w:pStyle w:val="PZList"/>
        <w:ind w:left="454" w:hanging="283"/>
      </w:pPr>
      <w:r>
        <w:rPr>
          <w:rFonts w:ascii="Times New Roman" w:hAnsi="Times New Roman" w:eastAsia="Times New Roman"/>
          <w:sz w:val="24"/>
        </w:rPr>
        <w:t xml:space="preserve">21. </w:t>
      </w:r>
      <w:r>
        <w:rPr>
          <w:rFonts w:ascii="Times New Roman" w:hAnsi="Times New Roman" w:eastAsia="Times New Roman"/>
          <w:b/>
          <w:i w:val="0"/>
          <w:sz w:val="24"/>
        </w:rPr>
        <w:t>Microsoft SQL Server Samples — AdventureWorks.</w:t>
      </w:r>
      <w:r>
        <w:rPr>
          <w:rFonts w:ascii="Times New Roman" w:hAnsi="Times New Roman" w:eastAsia="Times New Roman"/>
          <w:b w:val="0"/>
          <w:i w:val="0"/>
          <w:sz w:val="24"/>
        </w:rPr>
        <w:t xml:space="preserve"> https://github.com/microsoft/sql-server-samples/tree/master/samples/databases/adventure-works</w:t>
      </w:r>
    </w:p>
    <w:p>
      <w:pPr>
        <w:pStyle w:val="PZList"/>
        <w:ind w:left="454" w:hanging="283"/>
      </w:pPr>
      <w:r>
        <w:rPr>
          <w:rFonts w:ascii="Times New Roman" w:hAnsi="Times New Roman" w:eastAsia="Times New Roman"/>
          <w:sz w:val="24"/>
        </w:rPr>
        <w:t xml:space="preserve">22. </w:t>
      </w:r>
      <w:r>
        <w:rPr>
          <w:rFonts w:ascii="Times New Roman" w:hAnsi="Times New Roman" w:eastAsia="Times New Roman"/>
          <w:b/>
          <w:i w:val="0"/>
          <w:sz w:val="24"/>
        </w:rPr>
        <w:t>Pagila — PostgreSQL Sample Database.</w:t>
      </w:r>
      <w:r>
        <w:rPr>
          <w:rFonts w:ascii="Times New Roman" w:hAnsi="Times New Roman" w:eastAsia="Times New Roman"/>
          <w:b w:val="0"/>
          <w:i w:val="0"/>
          <w:sz w:val="24"/>
        </w:rPr>
        <w:t xml:space="preserve"> https://github.com/xzilla/pagila</w:t>
      </w:r>
    </w:p>
    <w:p>
      <w:r>
        <w:br w:type="page"/>
      </w:r>
    </w:p>
    <w:p>
      <w:pPr>
        <w:pStyle w:val="PZHeading1"/>
        <w:ind w:firstLine="0"/>
      </w:pPr>
      <w:r>
        <w:rPr>
          <w:rFonts w:ascii="Times New Roman" w:hAnsi="Times New Roman" w:eastAsia="Times New Roman"/>
          <w:b/>
          <w:i w:val="0"/>
          <w:sz w:val="30"/>
        </w:rPr>
        <w:t>Appendices</w:t>
      </w:r>
    </w:p>
    <w:p>
      <w:r>
        <w:rPr>
          <w:rFonts w:ascii="Times New Roman" w:hAnsi="Times New Roman" w:eastAsia="Times New Roman"/>
          <w:b w:val="0"/>
          <w:i w:val="0"/>
          <w:sz w:val="24"/>
        </w:rPr>
        <w:t>The appendices form part of the Explanatory Note as preserved engineering groundwork from the Preliminary Design. They do not expand the approved Technical Requirements or turn unapproved implementation details into mandatory requirements.</w:t>
      </w:r>
    </w:p>
    <w:p>
      <w:r>
        <w:rPr>
          <w:rFonts w:ascii="Times New Roman" w:hAnsi="Times New Roman" w:eastAsia="Times New Roman"/>
          <w:b w:val="0"/>
          <w:i w:val="0"/>
          <w:sz w:val="24"/>
        </w:rPr>
        <w:t>The following statuses are used for the appendices:</w:t>
      </w:r>
    </w:p>
    <w:p>
      <w:pPr>
        <w:pStyle w:val="PZList"/>
        <w:ind w:left="454" w:hanging="283"/>
      </w:pPr>
      <w:r>
        <w:rPr>
          <w:rFonts w:ascii="Times New Roman" w:hAnsi="Times New Roman" w:eastAsia="Times New Roman"/>
          <w:sz w:val="24"/>
        </w:rPr>
        <w:t>• FIXED BY TZ - a decision or invariant is explicitly defined by the approved Technical Requirements and may not be changed arbitrarily during implementation;</w:t>
      </w:r>
      <w:r>
        <w:rPr>
          <w:rFonts w:ascii="Times New Roman" w:hAnsi="Times New Roman" w:eastAsia="Times New Roman"/>
          <w:b/>
          <w:i w:val="0"/>
          <w:sz w:val="24"/>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ACCEPTED ARCHITECTURAL DIRECTION - a direction is justified by the Explanatory Note and must be preserved, although the exact implementation may be refined;</w:t>
      </w:r>
      <w:r>
        <w:rPr>
          <w:rFonts w:ascii="Times New Roman" w:hAnsi="Times New Roman" w:eastAsia="Times New Roman"/>
          <w:b/>
          <w:i w:val="0"/>
          <w:sz w:val="24"/>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CANDIDATE IMPLEMENTATION - a specific previously proposed implementation method retained for later verification and use;</w:t>
      </w:r>
      <w:r>
        <w:rPr>
          <w:rFonts w:ascii="Times New Roman" w:hAnsi="Times New Roman" w:eastAsia="Times New Roman"/>
          <w:b/>
          <w:i w:val="0"/>
          <w:sz w:val="24"/>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DECISION REQUIRED BEFORE ACCEPTANCE - a specific value or mapping must be fixed before acceptance testing;</w:t>
      </w:r>
      <w:r>
        <w:rPr>
          <w:rFonts w:ascii="Times New Roman" w:hAnsi="Times New Roman" w:eastAsia="Times New Roman"/>
          <w:b/>
          <w:i w:val="0"/>
          <w:sz w:val="24"/>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REJECTED / DO NOT REUSE - an option was discussed but conflicts with the Technical Requirements or accepted architectural discipline and must not reappear silently.</w:t>
      </w:r>
      <w:r>
        <w:rPr>
          <w:rFonts w:ascii="Times New Roman" w:hAnsi="Times New Roman" w:eastAsia="Times New Roman"/>
          <w:b/>
          <w:i w:val="0"/>
          <w:sz w:val="24"/>
        </w:rPr>
      </w:r>
      <w:r>
        <w:rPr>
          <w:rFonts w:ascii="Times New Roman" w:hAnsi="Times New Roman" w:eastAsia="Times New Roman"/>
          <w:b w:val="0"/>
          <w:i w:val="0"/>
          <w:sz w:val="24"/>
        </w:rPr>
      </w:r>
    </w:p>
    <w:p>
      <w:r>
        <w:br w:type="page"/>
      </w:r>
    </w:p>
    <w:p>
      <w:pPr>
        <w:pStyle w:val="PZHeading1"/>
        <w:ind w:firstLine="0"/>
      </w:pPr>
      <w:r>
        <w:rPr>
          <w:rFonts w:ascii="Times New Roman" w:hAnsi="Times New Roman" w:eastAsia="Times New Roman"/>
          <w:b/>
          <w:i w:val="0"/>
          <w:sz w:val="30"/>
        </w:rPr>
        <w:t>Appendix A. Register of design decisions and accumulated technical groundwork</w:t>
      </w:r>
    </w:p>
    <w:p>
      <w:r>
        <w:rPr>
          <w:rFonts w:ascii="Times New Roman" w:hAnsi="Times New Roman" w:eastAsia="Times New Roman"/>
          <w:b/>
          <w:i w:val="0"/>
          <w:sz w:val="24"/>
        </w:rPr>
        <w:t>Appendix status: informational.</w:t>
      </w:r>
      <w:r>
        <w:rPr>
          <w:rFonts w:ascii="Times New Roman" w:hAnsi="Times New Roman" w:eastAsia="Times New Roman"/>
          <w:b w:val="0"/>
          <w:i w:val="0"/>
          <w:sz w:val="24"/>
        </w:rPr>
      </w:r>
    </w:p>
    <w:p>
      <w:r>
        <w:rPr>
          <w:rFonts w:ascii="Times New Roman" w:hAnsi="Times New Roman" w:eastAsia="Times New Roman"/>
          <w:b w:val="0"/>
          <w:i w:val="0"/>
          <w:sz w:val="24"/>
        </w:rPr>
        <w:t>The register is intended to prevent reinvention of decisions at the next step. If the implementation differs from a candidate artifact below, that must result from a deliberate decision rather than loss of context.</w:t>
      </w:r>
    </w:p>
    <w:tbl>
      <w:tblPr>
        <w:tblStyle w:val="TableGrid"/>
        <w:tblW w:type="auto" w:w="0"/>
        <w:jc w:val="center"/>
        <w:tblLayout w:type="fixed"/>
        <w:tblLook w:firstColumn="1" w:firstRow="1" w:lastColumn="0" w:lastRow="0" w:noHBand="0" w:noVBand="1" w:val="04A0"/>
      </w:tblPr>
      <w:tblGrid>
        <w:gridCol w:w="2410"/>
        <w:gridCol w:w="2410"/>
        <w:gridCol w:w="2410"/>
        <w:gridCol w:w="2410"/>
      </w:tblGrid>
      <w:tr>
        <w:trPr>
          <w:cantSplit/>
          <w:tblHeader w:val="true"/>
        </w:trPr>
        <w:tc>
          <w:tcPr>
            <w:tcW w:type="dxa" w:w="2091"/>
            <w:vAlign w:val="center"/>
            <w:shd w:fill="E7E6E6"/>
          </w:tcPr>
          <w:p>
            <w:pPr>
              <w:spacing w:after="20" w:before="20"/>
              <w:ind w:firstLine="0"/>
              <w:jc w:val="left"/>
            </w:pPr>
            <w:r>
              <w:rPr>
                <w:rFonts w:ascii="Times New Roman" w:hAnsi="Times New Roman" w:eastAsia="Times New Roman"/>
                <w:b/>
                <w:i w:val="0"/>
                <w:sz w:val="18"/>
              </w:rPr>
              <w:t>Object</w:t>
            </w:r>
          </w:p>
        </w:tc>
        <w:tc>
          <w:tcPr>
            <w:tcW w:type="dxa" w:w="2727"/>
            <w:vAlign w:val="center"/>
            <w:shd w:fill="E7E6E6"/>
          </w:tcPr>
          <w:p>
            <w:pPr>
              <w:spacing w:after="20" w:before="20"/>
              <w:ind w:firstLine="0"/>
              <w:jc w:val="left"/>
            </w:pPr>
            <w:r>
              <w:rPr>
                <w:rFonts w:ascii="Times New Roman" w:hAnsi="Times New Roman" w:eastAsia="Times New Roman"/>
                <w:b/>
                <w:i w:val="0"/>
                <w:sz w:val="18"/>
              </w:rPr>
              <w:t>Current state</w:t>
            </w:r>
          </w:p>
        </w:tc>
        <w:tc>
          <w:tcPr>
            <w:tcW w:type="dxa" w:w="2091"/>
            <w:vAlign w:val="center"/>
            <w:shd w:fill="E7E6E6"/>
          </w:tcPr>
          <w:p>
            <w:pPr>
              <w:spacing w:after="20" w:before="20"/>
              <w:ind w:firstLine="0"/>
              <w:jc w:val="left"/>
            </w:pPr>
            <w:r>
              <w:rPr>
                <w:rFonts w:ascii="Times New Roman" w:hAnsi="Times New Roman" w:eastAsia="Times New Roman"/>
                <w:b/>
                <w:i w:val="0"/>
                <w:sz w:val="18"/>
              </w:rPr>
              <w:t>Status</w:t>
            </w:r>
          </w:p>
        </w:tc>
        <w:tc>
          <w:tcPr>
            <w:tcW w:type="dxa" w:w="2727"/>
            <w:vAlign w:val="center"/>
            <w:shd w:fill="E7E6E6"/>
          </w:tcPr>
          <w:p>
            <w:pPr>
              <w:spacing w:after="20" w:before="20"/>
              <w:ind w:firstLine="0"/>
              <w:jc w:val="left"/>
            </w:pPr>
            <w:r>
              <w:rPr>
                <w:rFonts w:ascii="Times New Roman" w:hAnsi="Times New Roman" w:eastAsia="Times New Roman"/>
                <w:b/>
                <w:i w:val="0"/>
                <w:sz w:val="18"/>
              </w:rPr>
              <w:t>What is carried into implementation</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Subject and Actor</w:t>
            </w:r>
          </w:p>
        </w:tc>
        <w:tc>
          <w:tcPr>
            <w:tcW w:type="dxa" w:w="2727"/>
            <w:vAlign w:val="center"/>
          </w:tcPr>
          <w:p>
            <w:pPr>
              <w:spacing w:after="20" w:before="20"/>
              <w:ind w:firstLine="0"/>
              <w:jc w:val="left"/>
            </w:pPr>
            <w:r>
              <w:rPr>
                <w:rFonts w:ascii="Times New Roman" w:hAnsi="Times New Roman" w:eastAsia="Times New Roman"/>
                <w:b w:val="0"/>
                <w:i w:val="0"/>
                <w:sz w:val="18"/>
              </w:rPr>
              <w:t>two independent identities</w:t>
            </w:r>
          </w:p>
        </w:tc>
        <w:tc>
          <w:tcPr>
            <w:tcW w:type="dxa" w:w="2091"/>
            <w:vAlign w:val="center"/>
          </w:tcPr>
          <w:p>
            <w:pPr>
              <w:spacing w:after="20" w:before="20"/>
              <w:ind w:firstLine="0"/>
              <w:jc w:val="left"/>
            </w:pPr>
            <w:r>
              <w:rPr>
                <w:rFonts w:ascii="Times New Roman" w:hAnsi="Times New Roman" w:eastAsia="Times New Roman"/>
                <w:b/>
                <w:i w:val="0"/>
                <w:sz w:val="18"/>
              </w:rPr>
              <w:t>FIXED BY TZ</w:t>
            </w:r>
          </w:p>
        </w:tc>
        <w:tc>
          <w:tcPr>
            <w:tcW w:type="dxa" w:w="2727"/>
            <w:vAlign w:val="center"/>
          </w:tcPr>
          <w:p>
            <w:pPr>
              <w:spacing w:after="20" w:before="20"/>
              <w:ind w:firstLine="0"/>
              <w:jc w:val="left"/>
            </w:pPr>
            <w:r>
              <w:rPr>
                <w:rFonts w:ascii="Times New Roman" w:hAnsi="Times New Roman" w:eastAsia="Times New Roman"/>
                <w:b w:val="0"/>
                <w:i w:val="0"/>
                <w:sz w:val="18"/>
              </w:rPr>
              <w:t>do not merge into a single principal</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Subject–Actor delegation</w:t>
            </w:r>
          </w:p>
        </w:tc>
        <w:tc>
          <w:tcPr>
            <w:tcW w:type="dxa" w:w="2727"/>
            <w:vAlign w:val="center"/>
          </w:tcPr>
          <w:p>
            <w:pPr>
              <w:spacing w:after="20" w:before="20"/>
              <w:ind w:firstLine="0"/>
              <w:jc w:val="left"/>
            </w:pPr>
            <w:r>
              <w:rPr>
                <w:rFonts w:ascii="Times New Roman" w:hAnsi="Times New Roman" w:eastAsia="Times New Roman"/>
                <w:b w:val="0"/>
                <w:i w:val="0"/>
                <w:sz w:val="18"/>
              </w:rPr>
              <w:t>separate verifiable association</w:t>
            </w:r>
          </w:p>
        </w:tc>
        <w:tc>
          <w:tcPr>
            <w:tcW w:type="dxa" w:w="2091"/>
            <w:vAlign w:val="center"/>
          </w:tcPr>
          <w:p>
            <w:pPr>
              <w:spacing w:after="20" w:before="20"/>
              <w:ind w:firstLine="0"/>
              <w:jc w:val="left"/>
            </w:pPr>
            <w:r>
              <w:rPr>
                <w:rFonts w:ascii="Times New Roman" w:hAnsi="Times New Roman" w:eastAsia="Times New Roman"/>
                <w:b/>
                <w:i w:val="0"/>
                <w:sz w:val="18"/>
              </w:rPr>
              <w:t>FIXED BY TZ</w:t>
            </w:r>
          </w:p>
        </w:tc>
        <w:tc>
          <w:tcPr>
            <w:tcW w:type="dxa" w:w="2727"/>
            <w:vAlign w:val="center"/>
          </w:tcPr>
          <w:p>
            <w:pPr>
              <w:spacing w:after="20" w:before="20"/>
              <w:ind w:firstLine="0"/>
              <w:jc w:val="left"/>
            </w:pPr>
            <w:r>
              <w:rPr>
                <w:rFonts w:ascii="Times New Roman" w:hAnsi="Times New Roman" w:eastAsia="Times New Roman"/>
                <w:b w:val="0"/>
                <w:i w:val="0"/>
                <w:sz w:val="18"/>
              </w:rPr>
              <w:t>store/verify independently of token claims</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Effective Access</w:t>
            </w:r>
          </w:p>
        </w:tc>
        <w:tc>
          <w:tcPr>
            <w:tcW w:type="dxa" w:w="2727"/>
            <w:vAlign w:val="center"/>
          </w:tcPr>
          <w:p>
            <w:pPr>
              <w:spacing w:after="20" w:before="20"/>
              <w:ind w:firstLine="0"/>
              <w:jc w:val="left"/>
            </w:pPr>
            <w:r>
              <w:rPr>
                <w:rFonts w:ascii="Times New Roman" w:hAnsi="Times New Roman" w:eastAsia="Times New Roman"/>
                <w:b w:val="0"/>
                <w:i w:val="0"/>
                <w:sz w:val="18"/>
              </w:rPr>
              <w:t>intersection of five constraints</w:t>
            </w:r>
          </w:p>
        </w:tc>
        <w:tc>
          <w:tcPr>
            <w:tcW w:type="dxa" w:w="2091"/>
            <w:vAlign w:val="center"/>
          </w:tcPr>
          <w:p>
            <w:pPr>
              <w:spacing w:after="20" w:before="20"/>
              <w:ind w:firstLine="0"/>
              <w:jc w:val="left"/>
            </w:pPr>
            <w:r>
              <w:rPr>
                <w:rFonts w:ascii="Times New Roman" w:hAnsi="Times New Roman" w:eastAsia="Times New Roman"/>
                <w:b/>
                <w:i w:val="0"/>
                <w:sz w:val="18"/>
              </w:rPr>
              <w:t>FIXED BY TZ</w:t>
            </w:r>
          </w:p>
        </w:tc>
        <w:tc>
          <w:tcPr>
            <w:tcW w:type="dxa" w:w="2727"/>
            <w:vAlign w:val="center"/>
          </w:tcPr>
          <w:p>
            <w:pPr>
              <w:spacing w:after="20" w:before="20"/>
              <w:ind w:firstLine="0"/>
              <w:jc w:val="left"/>
            </w:pPr>
            <w:r>
              <w:rPr>
                <w:rFonts w:ascii="Times New Roman" w:hAnsi="Times New Roman" w:eastAsia="Times New Roman"/>
                <w:b w:val="0"/>
                <w:i w:val="0"/>
                <w:sz w:val="18"/>
              </w:rPr>
              <w:t>the check order and fail-closed semantics are preserved</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Published Resource</w:t>
            </w:r>
          </w:p>
        </w:tc>
        <w:tc>
          <w:tcPr>
            <w:tcW w:type="dxa" w:w="2727"/>
            <w:vAlign w:val="center"/>
          </w:tcPr>
          <w:p>
            <w:pPr>
              <w:spacing w:after="20" w:before="20"/>
              <w:ind w:firstLine="0"/>
              <w:jc w:val="left"/>
            </w:pPr>
            <w:r>
              <w:rPr>
                <w:rFonts w:ascii="Times New Roman" w:hAnsi="Times New Roman" w:eastAsia="Times New Roman"/>
                <w:b w:val="0"/>
                <w:i w:val="0"/>
                <w:sz w:val="18"/>
              </w:rPr>
              <w:t>the Actor's only data surface</w:t>
            </w:r>
          </w:p>
        </w:tc>
        <w:tc>
          <w:tcPr>
            <w:tcW w:type="dxa" w:w="2091"/>
            <w:vAlign w:val="center"/>
          </w:tcPr>
          <w:p>
            <w:pPr>
              <w:spacing w:after="20" w:before="20"/>
              <w:ind w:firstLine="0"/>
              <w:jc w:val="left"/>
            </w:pPr>
            <w:r>
              <w:rPr>
                <w:rFonts w:ascii="Times New Roman" w:hAnsi="Times New Roman" w:eastAsia="Times New Roman"/>
                <w:b/>
                <w:i w:val="0"/>
                <w:sz w:val="18"/>
              </w:rPr>
              <w:t>FIXED BY TZ</w:t>
            </w:r>
          </w:p>
        </w:tc>
        <w:tc>
          <w:tcPr>
            <w:tcW w:type="dxa" w:w="2727"/>
            <w:vAlign w:val="center"/>
          </w:tcPr>
          <w:p>
            <w:pPr>
              <w:spacing w:after="20" w:before="20"/>
              <w:ind w:firstLine="0"/>
              <w:jc w:val="left"/>
            </w:pPr>
            <w:r>
              <w:rPr>
                <w:rFonts w:ascii="Times New Roman" w:hAnsi="Times New Roman" w:eastAsia="Times New Roman"/>
                <w:b w:val="0"/>
                <w:i w:val="0"/>
                <w:sz w:val="18"/>
              </w:rPr>
              <w:t>the Actor does not control SQL/table/view/column/join</w:t>
            </w:r>
          </w:p>
        </w:tc>
      </w:tr>
      <w:tr>
        <w:trPr>
          <w:cantSplit/>
        </w:trPr>
        <w:tc>
          <w:tcPr>
            <w:tcW w:type="dxa" w:w="2091"/>
            <w:vAlign w:val="center"/>
          </w:tcPr>
          <w:p>
            <w:pPr>
              <w:spacing w:after="20" w:before="20"/>
              <w:ind w:firstLine="0"/>
              <w:jc w:val="left"/>
            </w:pPr>
            <w:r>
              <w:rPr>
                <w:rFonts w:ascii="Courier New" w:hAnsi="Courier New" w:eastAsia="Courier New"/>
                <w:b w:val="0"/>
                <w:i w:val="0"/>
                <w:sz w:val="17"/>
              </w:rPr>
              <w:t>SalesSummary</w:t>
            </w:r>
          </w:p>
        </w:tc>
        <w:tc>
          <w:tcPr>
            <w:tcW w:type="dxa" w:w="2727"/>
            <w:vAlign w:val="center"/>
          </w:tcPr>
          <w:p>
            <w:pPr>
              <w:spacing w:after="20" w:before="20"/>
              <w:ind w:firstLine="0"/>
              <w:jc w:val="left"/>
            </w:pPr>
            <w:r>
              <w:rPr>
                <w:rFonts w:ascii="Times New Roman" w:hAnsi="Times New Roman" w:eastAsia="Times New Roman"/>
                <w:b w:val="0"/>
                <w:i w:val="0"/>
                <w:sz w:val="18"/>
              </w:rPr>
              <w:t>one v0.1 resource, capability sales.read</w:t>
            </w:r>
            <w:r>
              <w:rPr>
                <w:rFonts w:ascii="Courier New" w:hAnsi="Courier New" w:eastAsia="Courier New"/>
                <w:b w:val="0"/>
                <w:i w:val="0"/>
                <w:sz w:val="17"/>
              </w:rPr>
            </w:r>
          </w:p>
        </w:tc>
        <w:tc>
          <w:tcPr>
            <w:tcW w:type="dxa" w:w="2091"/>
            <w:vAlign w:val="center"/>
          </w:tcPr>
          <w:p>
            <w:pPr>
              <w:spacing w:after="20" w:before="20"/>
              <w:ind w:firstLine="0"/>
              <w:jc w:val="left"/>
            </w:pPr>
            <w:r>
              <w:rPr>
                <w:rFonts w:ascii="Times New Roman" w:hAnsi="Times New Roman" w:eastAsia="Times New Roman"/>
                <w:b/>
                <w:i w:val="0"/>
                <w:sz w:val="18"/>
              </w:rPr>
              <w:t>FIXED BY TZ</w:t>
            </w:r>
          </w:p>
        </w:tc>
        <w:tc>
          <w:tcPr>
            <w:tcW w:type="dxa" w:w="2727"/>
            <w:vAlign w:val="center"/>
          </w:tcPr>
          <w:p>
            <w:pPr>
              <w:spacing w:after="20" w:before="20"/>
              <w:ind w:firstLine="0"/>
              <w:jc w:val="left"/>
            </w:pPr>
            <w:r>
              <w:rPr>
                <w:rFonts w:ascii="Times New Roman" w:hAnsi="Times New Roman" w:eastAsia="Times New Roman"/>
                <w:b w:val="0"/>
                <w:i w:val="0"/>
                <w:sz w:val="18"/>
              </w:rPr>
              <w:t>four output fields; country is the only application query parameter</w:t>
            </w:r>
            <w:r>
              <w:rPr>
                <w:rFonts w:ascii="Courier New" w:hAnsi="Courier New" w:eastAsia="Courier New"/>
                <w:b w:val="0"/>
                <w:i w:val="0"/>
                <w:sz w:val="17"/>
              </w:rPr>
            </w:r>
            <w:r>
              <w:rPr>
                <w:rFonts w:ascii="Times New Roman" w:hAnsi="Times New Roman" w:eastAsia="Times New Roman"/>
                <w:b w:val="0"/>
                <w:i w:val="0"/>
                <w:sz w:val="18"/>
              </w:rPr>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Server-side result limit</w:t>
            </w:r>
          </w:p>
        </w:tc>
        <w:tc>
          <w:tcPr>
            <w:tcW w:type="dxa" w:w="2727"/>
            <w:vAlign w:val="center"/>
          </w:tcPr>
          <w:p>
            <w:pPr>
              <w:spacing w:after="20" w:before="20"/>
              <w:ind w:firstLine="0"/>
              <w:jc w:val="left"/>
            </w:pPr>
            <w:r>
              <w:rPr>
                <w:rFonts w:ascii="Times New Roman" w:hAnsi="Times New Roman" w:eastAsia="Times New Roman"/>
                <w:b w:val="0"/>
                <w:i w:val="0"/>
                <w:sz w:val="18"/>
              </w:rPr>
              <w:t>the limit is mandatory; the Actor cannot increase it</w:t>
            </w:r>
          </w:p>
        </w:tc>
        <w:tc>
          <w:tcPr>
            <w:tcW w:type="dxa" w:w="2091"/>
            <w:vAlign w:val="center"/>
          </w:tcPr>
          <w:p>
            <w:pPr>
              <w:spacing w:after="20" w:before="20"/>
              <w:ind w:firstLine="0"/>
              <w:jc w:val="left"/>
            </w:pPr>
            <w:r>
              <w:rPr>
                <w:rFonts w:ascii="Times New Roman" w:hAnsi="Times New Roman" w:eastAsia="Times New Roman"/>
                <w:b/>
                <w:i w:val="0"/>
                <w:sz w:val="18"/>
              </w:rPr>
              <w:t>DECISION REQUIRED BEFORE ACCEPTANCE</w:t>
            </w:r>
          </w:p>
        </w:tc>
        <w:tc>
          <w:tcPr>
            <w:tcW w:type="dxa" w:w="2727"/>
            <w:vAlign w:val="center"/>
          </w:tcPr>
          <w:p>
            <w:pPr>
              <w:spacing w:after="20" w:before="20"/>
              <w:ind w:firstLine="0"/>
              <w:jc w:val="left"/>
            </w:pPr>
            <w:r>
              <w:rPr>
                <w:rFonts w:ascii="Times New Roman" w:hAnsi="Times New Roman" w:eastAsia="Times New Roman"/>
                <w:b w:val="0"/>
                <w:i w:val="0"/>
                <w:sz w:val="18"/>
              </w:rPr>
              <w:t>numeric value is fixed in the accepted demo configuration; 100 from the early draft is not a decision</w:t>
            </w:r>
            <w:r>
              <w:rPr>
                <w:rFonts w:ascii="Courier New" w:hAnsi="Courier New" w:eastAsia="Courier New"/>
                <w:b w:val="0"/>
                <w:i w:val="0"/>
                <w:sz w:val="17"/>
              </w:rPr>
            </w:r>
            <w:r>
              <w:rPr>
                <w:rFonts w:ascii="Times New Roman" w:hAnsi="Times New Roman" w:eastAsia="Times New Roman"/>
                <w:b w:val="0"/>
                <w:i w:val="0"/>
                <w:sz w:val="18"/>
              </w:rPr>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 xml:space="preserve">JWT </w:t>
            </w:r>
            <w:r>
              <w:rPr>
                <w:rFonts w:ascii="Courier New" w:hAnsi="Courier New" w:eastAsia="Courier New"/>
                <w:b w:val="0"/>
                <w:i w:val="0"/>
                <w:sz w:val="17"/>
              </w:rPr>
              <w:t>sub</w:t>
            </w:r>
            <w:r>
              <w:rPr>
                <w:rFonts w:ascii="Times New Roman" w:hAnsi="Times New Roman" w:eastAsia="Times New Roman"/>
                <w:b w:val="0"/>
                <w:i w:val="0"/>
                <w:sz w:val="18"/>
              </w:rPr>
              <w:t xml:space="preserve"> / </w:t>
            </w:r>
            <w:r>
              <w:rPr>
                <w:rFonts w:ascii="Courier New" w:hAnsi="Courier New" w:eastAsia="Courier New"/>
                <w:b w:val="0"/>
                <w:i w:val="0"/>
                <w:sz w:val="17"/>
              </w:rPr>
              <w:t>act.sub</w:t>
            </w:r>
            <w:r>
              <w:rPr>
                <w:rFonts w:ascii="Times New Roman" w:hAnsi="Times New Roman" w:eastAsia="Times New Roman"/>
                <w:b w:val="0"/>
                <w:i w:val="0"/>
                <w:sz w:val="18"/>
              </w:rPr>
              <w:t xml:space="preserve"> / </w:t>
            </w:r>
            <w:r>
              <w:rPr>
                <w:rFonts w:ascii="Courier New" w:hAnsi="Courier New" w:eastAsia="Courier New"/>
                <w:b w:val="0"/>
                <w:i w:val="0"/>
                <w:sz w:val="17"/>
              </w:rPr>
              <w:t>scope</w:t>
            </w:r>
          </w:p>
        </w:tc>
        <w:tc>
          <w:tcPr>
            <w:tcW w:type="dxa" w:w="2727"/>
            <w:vAlign w:val="center"/>
          </w:tcPr>
          <w:p>
            <w:pPr>
              <w:spacing w:after="20" w:before="20"/>
              <w:ind w:firstLine="0"/>
              <w:jc w:val="left"/>
            </w:pPr>
            <w:r>
              <w:rPr>
                <w:rFonts w:ascii="Times New Roman" w:hAnsi="Times New Roman" w:eastAsia="Times New Roman"/>
                <w:b w:val="0"/>
                <w:i w:val="0"/>
                <w:sz w:val="18"/>
              </w:rPr>
              <w:t>mandatory protected-request semantics</w:t>
            </w:r>
          </w:p>
        </w:tc>
        <w:tc>
          <w:tcPr>
            <w:tcW w:type="dxa" w:w="2091"/>
            <w:vAlign w:val="center"/>
          </w:tcPr>
          <w:p>
            <w:pPr>
              <w:spacing w:after="20" w:before="20"/>
              <w:ind w:firstLine="0"/>
              <w:jc w:val="left"/>
            </w:pPr>
            <w:r>
              <w:rPr>
                <w:rFonts w:ascii="Times New Roman" w:hAnsi="Times New Roman" w:eastAsia="Times New Roman"/>
                <w:b/>
                <w:i w:val="0"/>
                <w:sz w:val="18"/>
              </w:rPr>
              <w:t>FIXED BY TZ</w:t>
            </w:r>
          </w:p>
        </w:tc>
        <w:tc>
          <w:tcPr>
            <w:tcW w:type="dxa" w:w="2727"/>
            <w:vAlign w:val="center"/>
          </w:tcPr>
          <w:p>
            <w:pPr>
              <w:spacing w:after="20" w:before="20"/>
              <w:ind w:firstLine="0"/>
              <w:jc w:val="left"/>
            </w:pPr>
            <w:r>
              <w:rPr>
                <w:rFonts w:ascii="Times New Roman" w:hAnsi="Times New Roman" w:eastAsia="Times New Roman"/>
                <w:b w:val="0"/>
                <w:i w:val="0"/>
                <w:sz w:val="18"/>
              </w:rPr>
              <w:t xml:space="preserve">missing/invalid </w:t>
            </w:r>
            <w:r>
              <w:rPr>
                <w:rFonts w:ascii="Courier New" w:hAnsi="Courier New" w:eastAsia="Courier New"/>
                <w:b w:val="0"/>
                <w:i w:val="0"/>
                <w:sz w:val="17"/>
              </w:rPr>
              <w:t>act.sub</w:t>
            </w:r>
            <w:r>
              <w:rPr>
                <w:rFonts w:ascii="Times New Roman" w:hAnsi="Times New Roman" w:eastAsia="Times New Roman"/>
                <w:b w:val="0"/>
                <w:i w:val="0"/>
                <w:sz w:val="18"/>
              </w:rPr>
              <w:t xml:space="preserve"> — T-11, </w:t>
            </w:r>
            <w:r>
              <w:rPr>
                <w:rFonts w:ascii="Courier New" w:hAnsi="Courier New" w:eastAsia="Courier New"/>
                <w:b w:val="0"/>
                <w:i w:val="0"/>
                <w:sz w:val="17"/>
              </w:rPr>
              <w:t>401 / authentication_failed</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Demo Subject ID</w:t>
            </w:r>
          </w:p>
        </w:tc>
        <w:tc>
          <w:tcPr>
            <w:tcW w:type="dxa" w:w="2727"/>
            <w:vAlign w:val="center"/>
          </w:tcPr>
          <w:p>
            <w:pPr>
              <w:spacing w:after="20" w:before="20"/>
              <w:ind w:firstLine="0"/>
              <w:jc w:val="left"/>
            </w:pPr>
            <w:r>
              <w:rPr>
                <w:rFonts w:ascii="Times New Roman" w:hAnsi="Times New Roman" w:eastAsia="Times New Roman"/>
                <w:b w:val="0"/>
                <w:i w:val="0"/>
                <w:sz w:val="18"/>
              </w:rPr>
              <w:t>user_42 was used in examples</w:t>
            </w:r>
            <w:r>
              <w:rPr>
                <w:rFonts w:ascii="Courier New" w:hAnsi="Courier New" w:eastAsia="Courier New"/>
                <w:b w:val="0"/>
                <w:i w:val="0"/>
                <w:sz w:val="17"/>
              </w:rPr>
            </w:r>
          </w:p>
        </w:tc>
        <w:tc>
          <w:tcPr>
            <w:tcW w:type="dxa" w:w="2091"/>
            <w:vAlign w:val="center"/>
          </w:tcPr>
          <w:p>
            <w:pPr>
              <w:spacing w:after="20" w:before="20"/>
              <w:ind w:firstLine="0"/>
              <w:jc w:val="left"/>
            </w:pPr>
            <w:r>
              <w:rPr>
                <w:rFonts w:ascii="Times New Roman" w:hAnsi="Times New Roman" w:eastAsia="Times New Roman"/>
                <w:b/>
                <w:i w:val="0"/>
                <w:sz w:val="18"/>
              </w:rPr>
              <w:t>CANDIDATE IMPLEMENTATION</w:t>
            </w:r>
          </w:p>
        </w:tc>
        <w:tc>
          <w:tcPr>
            <w:tcW w:type="dxa" w:w="2727"/>
            <w:vAlign w:val="center"/>
          </w:tcPr>
          <w:p>
            <w:pPr>
              <w:spacing w:after="20" w:before="20"/>
              <w:ind w:firstLine="0"/>
              <w:jc w:val="left"/>
            </w:pPr>
            <w:r>
              <w:rPr>
                <w:rFonts w:ascii="Times New Roman" w:hAnsi="Times New Roman" w:eastAsia="Times New Roman"/>
                <w:b w:val="0"/>
                <w:i w:val="0"/>
                <w:sz w:val="18"/>
              </w:rPr>
              <w:t>may be retained for the demo</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Demo Actor ID</w:t>
            </w:r>
          </w:p>
        </w:tc>
        <w:tc>
          <w:tcPr>
            <w:tcW w:type="dxa" w:w="2727"/>
            <w:vAlign w:val="center"/>
          </w:tcPr>
          <w:p>
            <w:pPr>
              <w:spacing w:after="20" w:before="20"/>
              <w:ind w:firstLine="0"/>
              <w:jc w:val="left"/>
            </w:pPr>
            <w:r>
              <w:rPr>
                <w:rFonts w:ascii="Courier New" w:hAnsi="Courier New" w:eastAsia="Courier New"/>
                <w:b w:val="0"/>
                <w:i w:val="0"/>
                <w:sz w:val="17"/>
              </w:rPr>
              <w:t>sales_copilot_v1</w:t>
            </w:r>
          </w:p>
        </w:tc>
        <w:tc>
          <w:tcPr>
            <w:tcW w:type="dxa" w:w="2091"/>
            <w:vAlign w:val="center"/>
          </w:tcPr>
          <w:p>
            <w:pPr>
              <w:spacing w:after="20" w:before="20"/>
              <w:ind w:firstLine="0"/>
              <w:jc w:val="left"/>
            </w:pPr>
            <w:r>
              <w:rPr>
                <w:rFonts w:ascii="Times New Roman" w:hAnsi="Times New Roman" w:eastAsia="Times New Roman"/>
                <w:b/>
                <w:i w:val="0"/>
                <w:sz w:val="18"/>
              </w:rPr>
              <w:t>FIXED BY TZ for the demo Actor</w:t>
            </w:r>
          </w:p>
        </w:tc>
        <w:tc>
          <w:tcPr>
            <w:tcW w:type="dxa" w:w="2727"/>
            <w:vAlign w:val="center"/>
          </w:tcPr>
          <w:p>
            <w:pPr>
              <w:spacing w:after="20" w:before="20"/>
              <w:ind w:firstLine="0"/>
              <w:jc w:val="left"/>
            </w:pPr>
            <w:r>
              <w:rPr>
                <w:rFonts w:ascii="Times New Roman" w:hAnsi="Times New Roman" w:eastAsia="Times New Roman"/>
                <w:b w:val="0"/>
                <w:i w:val="0"/>
                <w:sz w:val="18"/>
              </w:rPr>
              <w:t>use in the acceptance demo or document and synchronize all fixtures</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Demo capability</w:t>
            </w:r>
          </w:p>
        </w:tc>
        <w:tc>
          <w:tcPr>
            <w:tcW w:type="dxa" w:w="2727"/>
            <w:vAlign w:val="center"/>
          </w:tcPr>
          <w:p>
            <w:pPr>
              <w:spacing w:after="20" w:before="20"/>
              <w:ind w:firstLine="0"/>
              <w:jc w:val="left"/>
            </w:pPr>
            <w:r>
              <w:rPr>
                <w:rFonts w:ascii="Courier New" w:hAnsi="Courier New" w:eastAsia="Courier New"/>
                <w:b w:val="0"/>
                <w:i w:val="0"/>
                <w:sz w:val="17"/>
              </w:rPr>
              <w:t>sales.read</w:t>
            </w:r>
          </w:p>
        </w:tc>
        <w:tc>
          <w:tcPr>
            <w:tcW w:type="dxa" w:w="2091"/>
            <w:vAlign w:val="center"/>
          </w:tcPr>
          <w:p>
            <w:pPr>
              <w:spacing w:after="20" w:before="20"/>
              <w:ind w:firstLine="0"/>
              <w:jc w:val="left"/>
            </w:pPr>
            <w:r>
              <w:rPr>
                <w:rFonts w:ascii="Times New Roman" w:hAnsi="Times New Roman" w:eastAsia="Times New Roman"/>
                <w:b/>
                <w:i w:val="0"/>
                <w:sz w:val="18"/>
              </w:rPr>
              <w:t>FIXED BY TZ</w:t>
            </w:r>
          </w:p>
        </w:tc>
        <w:tc>
          <w:tcPr>
            <w:tcW w:type="dxa" w:w="2727"/>
            <w:vAlign w:val="center"/>
          </w:tcPr>
          <w:p>
            <w:pPr>
              <w:spacing w:after="20" w:before="20"/>
              <w:ind w:firstLine="0"/>
              <w:jc w:val="left"/>
            </w:pPr>
            <w:r>
              <w:rPr>
                <w:rFonts w:ascii="Times New Roman" w:hAnsi="Times New Roman" w:eastAsia="Times New Roman"/>
                <w:b w:val="0"/>
                <w:i w:val="0"/>
                <w:sz w:val="18"/>
              </w:rPr>
              <w:t>do not rename without changing the Technical Requirements</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JWT issuer/audience</w:t>
            </w:r>
          </w:p>
        </w:tc>
        <w:tc>
          <w:tcPr>
            <w:tcW w:type="dxa" w:w="2727"/>
            <w:vAlign w:val="center"/>
          </w:tcPr>
          <w:p>
            <w:pPr>
              <w:spacing w:after="20" w:before="20"/>
              <w:ind w:firstLine="0"/>
              <w:jc w:val="left"/>
            </w:pPr>
            <w:r>
              <w:rPr>
                <w:rFonts w:ascii="Times New Roman" w:hAnsi="Times New Roman" w:eastAsia="Times New Roman"/>
                <w:b w:val="0"/>
                <w:i w:val="0"/>
                <w:sz w:val="18"/>
              </w:rPr>
              <w:t>different values appeared in early variants</w:t>
            </w:r>
          </w:p>
        </w:tc>
        <w:tc>
          <w:tcPr>
            <w:tcW w:type="dxa" w:w="2091"/>
            <w:vAlign w:val="center"/>
          </w:tcPr>
          <w:p>
            <w:pPr>
              <w:spacing w:after="20" w:before="20"/>
              <w:ind w:firstLine="0"/>
              <w:jc w:val="left"/>
            </w:pPr>
            <w:r>
              <w:rPr>
                <w:rFonts w:ascii="Times New Roman" w:hAnsi="Times New Roman" w:eastAsia="Times New Roman"/>
                <w:b/>
                <w:i w:val="0"/>
                <w:sz w:val="18"/>
              </w:rPr>
              <w:t>DECISION REQUIRED BEFORE ACCEPTANCE</w:t>
            </w:r>
          </w:p>
        </w:tc>
        <w:tc>
          <w:tcPr>
            <w:tcW w:type="dxa" w:w="2727"/>
            <w:vAlign w:val="center"/>
          </w:tcPr>
          <w:p>
            <w:pPr>
              <w:spacing w:after="20" w:before="20"/>
              <w:ind w:firstLine="0"/>
              <w:jc w:val="left"/>
            </w:pPr>
            <w:r>
              <w:rPr>
                <w:rFonts w:ascii="Times New Roman" w:hAnsi="Times New Roman" w:eastAsia="Times New Roman"/>
                <w:b w:val="0"/>
                <w:i w:val="0"/>
                <w:sz w:val="18"/>
              </w:rPr>
              <w:t>select one pair in the accepted demo config; do not inherit one accidentally from a draft</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Platform Store</w:t>
            </w:r>
          </w:p>
        </w:tc>
        <w:tc>
          <w:tcPr>
            <w:tcW w:type="dxa" w:w="2727"/>
            <w:vAlign w:val="center"/>
          </w:tcPr>
          <w:p>
            <w:pPr>
              <w:spacing w:after="20" w:before="20"/>
              <w:ind w:firstLine="0"/>
              <w:jc w:val="left"/>
            </w:pPr>
            <w:r>
              <w:rPr>
                <w:rFonts w:ascii="Times New Roman" w:hAnsi="Times New Roman" w:eastAsia="Times New Roman"/>
                <w:b w:val="0"/>
                <w:i w:val="0"/>
                <w:sz w:val="18"/>
              </w:rPr>
              <w:t>separate PDG service store</w:t>
            </w:r>
          </w:p>
        </w:tc>
        <w:tc>
          <w:tcPr>
            <w:tcW w:type="dxa" w:w="2091"/>
            <w:vAlign w:val="center"/>
          </w:tcPr>
          <w:p>
            <w:pPr>
              <w:spacing w:after="20" w:before="20"/>
              <w:ind w:firstLine="0"/>
              <w:jc w:val="left"/>
            </w:pPr>
            <w:r>
              <w:rPr>
                <w:rFonts w:ascii="Times New Roman" w:hAnsi="Times New Roman" w:eastAsia="Times New Roman"/>
                <w:b/>
                <w:i w:val="0"/>
                <w:sz w:val="18"/>
              </w:rPr>
              <w:t>FIXED BY TZ / ACCEPTED ARCHITECTURAL DIRECTION</w:t>
            </w:r>
          </w:p>
        </w:tc>
        <w:tc>
          <w:tcPr>
            <w:tcW w:type="dxa" w:w="2727"/>
            <w:vAlign w:val="center"/>
          </w:tcPr>
          <w:p>
            <w:pPr>
              <w:spacing w:after="20" w:before="20"/>
              <w:ind w:firstLine="0"/>
              <w:jc w:val="left"/>
            </w:pPr>
            <w:r>
              <w:rPr>
                <w:rFonts w:ascii="Times New Roman" w:hAnsi="Times New Roman" w:eastAsia="Times New Roman"/>
                <w:b w:val="0"/>
                <w:i w:val="0"/>
                <w:sz w:val="18"/>
              </w:rPr>
              <w:t>separate credentials; do not store persistent copies of corporate responses</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Corporate Data Source</w:t>
            </w:r>
          </w:p>
        </w:tc>
        <w:tc>
          <w:tcPr>
            <w:tcW w:type="dxa" w:w="2727"/>
            <w:vAlign w:val="center"/>
          </w:tcPr>
          <w:p>
            <w:pPr>
              <w:spacing w:after="20" w:before="20"/>
              <w:ind w:firstLine="0"/>
              <w:jc w:val="left"/>
            </w:pPr>
            <w:r>
              <w:rPr>
                <w:rFonts w:ascii="Times New Roman" w:hAnsi="Times New Roman" w:eastAsia="Times New Roman"/>
                <w:b w:val="0"/>
                <w:i w:val="0"/>
                <w:sz w:val="18"/>
              </w:rPr>
              <w:t>PostgreSQL + Chinook for v0.1</w:t>
            </w:r>
          </w:p>
        </w:tc>
        <w:tc>
          <w:tcPr>
            <w:tcW w:type="dxa" w:w="2091"/>
            <w:vAlign w:val="center"/>
          </w:tcPr>
          <w:p>
            <w:pPr>
              <w:spacing w:after="20" w:before="20"/>
              <w:ind w:firstLine="0"/>
              <w:jc w:val="left"/>
            </w:pPr>
            <w:r>
              <w:rPr>
                <w:rFonts w:ascii="Times New Roman" w:hAnsi="Times New Roman" w:eastAsia="Times New Roman"/>
                <w:b/>
                <w:i w:val="0"/>
                <w:sz w:val="18"/>
              </w:rPr>
              <w:t>FIXED BY TZ</w:t>
            </w:r>
          </w:p>
        </w:tc>
        <w:tc>
          <w:tcPr>
            <w:tcW w:type="dxa" w:w="2727"/>
            <w:vAlign w:val="center"/>
          </w:tcPr>
          <w:p>
            <w:pPr>
              <w:spacing w:after="20" w:before="20"/>
              <w:ind w:firstLine="0"/>
              <w:jc w:val="left"/>
            </w:pPr>
            <w:r>
              <w:rPr>
                <w:rFonts w:ascii="Times New Roman" w:hAnsi="Times New Roman" w:eastAsia="Times New Roman"/>
                <w:b w:val="0"/>
                <w:i w:val="0"/>
                <w:sz w:val="18"/>
              </w:rPr>
              <w:t>do not modify business tables/data at runtime</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DB security boundary</w:t>
            </w:r>
          </w:p>
        </w:tc>
        <w:tc>
          <w:tcPr>
            <w:tcW w:type="dxa" w:w="2727"/>
            <w:vAlign w:val="center"/>
          </w:tcPr>
          <w:p>
            <w:pPr>
              <w:spacing w:after="20" w:before="20"/>
              <w:ind w:firstLine="0"/>
              <w:jc w:val="left"/>
            </w:pPr>
            <w:r>
              <w:rPr>
                <w:rFonts w:ascii="Times New Roman" w:hAnsi="Times New Roman" w:eastAsia="Times New Roman"/>
                <w:b w:val="0"/>
                <w:i w:val="0"/>
                <w:sz w:val="18"/>
              </w:rPr>
              <w:t>restricted representation + least-privilege runtime identity</w:t>
            </w:r>
          </w:p>
        </w:tc>
        <w:tc>
          <w:tcPr>
            <w:tcW w:type="dxa" w:w="2091"/>
            <w:vAlign w:val="center"/>
          </w:tcPr>
          <w:p>
            <w:pPr>
              <w:spacing w:after="20" w:before="20"/>
              <w:ind w:firstLine="0"/>
              <w:jc w:val="left"/>
            </w:pPr>
            <w:r>
              <w:rPr>
                <w:rFonts w:ascii="Times New Roman" w:hAnsi="Times New Roman" w:eastAsia="Times New Roman"/>
                <w:b/>
                <w:i w:val="0"/>
                <w:sz w:val="18"/>
              </w:rPr>
              <w:t>FIXED BY TZ</w:t>
            </w:r>
          </w:p>
        </w:tc>
        <w:tc>
          <w:tcPr>
            <w:tcW w:type="dxa" w:w="2727"/>
            <w:vAlign w:val="center"/>
          </w:tcPr>
          <w:p>
            <w:pPr>
              <w:spacing w:after="20" w:before="20"/>
              <w:ind w:firstLine="0"/>
              <w:jc w:val="left"/>
            </w:pPr>
            <w:r>
              <w:rPr>
                <w:rFonts w:ascii="Times New Roman" w:hAnsi="Times New Roman" w:eastAsia="Times New Roman"/>
                <w:b w:val="0"/>
                <w:i w:val="0"/>
                <w:sz w:val="18"/>
              </w:rPr>
              <w:t>T-07/T-08 verify the actual resulting privilege state</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DB role name</w:t>
            </w:r>
          </w:p>
        </w:tc>
        <w:tc>
          <w:tcPr>
            <w:tcW w:type="dxa" w:w="2727"/>
            <w:vAlign w:val="center"/>
          </w:tcPr>
          <w:p>
            <w:pPr>
              <w:spacing w:after="20" w:before="20"/>
              <w:ind w:firstLine="0"/>
              <w:jc w:val="left"/>
            </w:pPr>
            <w:r>
              <w:rPr>
                <w:rFonts w:ascii="Times New Roman" w:hAnsi="Times New Roman" w:eastAsia="Times New Roman"/>
                <w:b w:val="0"/>
                <w:i w:val="0"/>
                <w:sz w:val="18"/>
              </w:rPr>
              <w:t>pdg_reader and pdg_runtime_role were both considered</w:t>
            </w:r>
            <w:r>
              <w:rPr>
                <w:rFonts w:ascii="Courier New" w:hAnsi="Courier New" w:eastAsia="Courier New"/>
                <w:b w:val="0"/>
                <w:i w:val="0"/>
                <w:sz w:val="17"/>
              </w:rPr>
            </w:r>
            <w:r>
              <w:rPr>
                <w:rFonts w:ascii="Times New Roman" w:hAnsi="Times New Roman" w:eastAsia="Times New Roman"/>
                <w:b w:val="0"/>
                <w:i w:val="0"/>
                <w:sz w:val="18"/>
              </w:rPr>
            </w:r>
            <w:r>
              <w:rPr>
                <w:rFonts w:ascii="Courier New" w:hAnsi="Courier New" w:eastAsia="Courier New"/>
                <w:b w:val="0"/>
                <w:i w:val="0"/>
                <w:sz w:val="17"/>
              </w:rPr>
            </w:r>
          </w:p>
        </w:tc>
        <w:tc>
          <w:tcPr>
            <w:tcW w:type="dxa" w:w="2091"/>
            <w:vAlign w:val="center"/>
          </w:tcPr>
          <w:p>
            <w:pPr>
              <w:spacing w:after="20" w:before="20"/>
              <w:ind w:firstLine="0"/>
              <w:jc w:val="left"/>
            </w:pPr>
            <w:r>
              <w:rPr>
                <w:rFonts w:ascii="Times New Roman" w:hAnsi="Times New Roman" w:eastAsia="Times New Roman"/>
                <w:b/>
                <w:i w:val="0"/>
                <w:sz w:val="18"/>
              </w:rPr>
              <w:t>CANDIDATE IMPLEMENTATION</w:t>
            </w:r>
          </w:p>
        </w:tc>
        <w:tc>
          <w:tcPr>
            <w:tcW w:type="dxa" w:w="2727"/>
            <w:vAlign w:val="center"/>
          </w:tcPr>
          <w:p>
            <w:pPr>
              <w:spacing w:after="20" w:before="20"/>
              <w:ind w:firstLine="0"/>
              <w:jc w:val="left"/>
            </w:pPr>
            <w:r>
              <w:rPr>
                <w:rFonts w:ascii="Times New Roman" w:hAnsi="Times New Roman" w:eastAsia="Times New Roman"/>
                <w:b w:val="0"/>
                <w:i w:val="0"/>
                <w:sz w:val="18"/>
              </w:rPr>
              <w:t>choose one name in bootstrap; the name itself is not a security property</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VIEW name</w:t>
            </w:r>
          </w:p>
        </w:tc>
        <w:tc>
          <w:tcPr>
            <w:tcW w:type="dxa" w:w="2727"/>
            <w:vAlign w:val="center"/>
          </w:tcPr>
          <w:p>
            <w:pPr>
              <w:spacing w:after="20" w:before="20"/>
              <w:ind w:firstLine="0"/>
              <w:jc w:val="left"/>
            </w:pPr>
            <w:r>
              <w:rPr>
                <w:rFonts w:ascii="Times New Roman" w:hAnsi="Times New Roman" w:eastAsia="Times New Roman"/>
                <w:b w:val="0"/>
                <w:i w:val="0"/>
                <w:sz w:val="18"/>
              </w:rPr>
              <w:t>sales_summary_view, vw_sales_summary, and pdg_sales_summary were considered</w:t>
            </w:r>
            <w:r>
              <w:rPr>
                <w:rFonts w:ascii="Courier New" w:hAnsi="Courier New" w:eastAsia="Courier New"/>
                <w:b w:val="0"/>
                <w:i w:val="0"/>
                <w:sz w:val="17"/>
              </w:rPr>
            </w:r>
            <w:r>
              <w:rPr>
                <w:rFonts w:ascii="Times New Roman" w:hAnsi="Times New Roman" w:eastAsia="Times New Roman"/>
                <w:b w:val="0"/>
                <w:i w:val="0"/>
                <w:sz w:val="18"/>
              </w:rPr>
            </w:r>
            <w:r>
              <w:rPr>
                <w:rFonts w:ascii="Courier New" w:hAnsi="Courier New" w:eastAsia="Courier New"/>
                <w:b w:val="0"/>
                <w:i w:val="0"/>
                <w:sz w:val="17"/>
              </w:rPr>
            </w:r>
            <w:r>
              <w:rPr>
                <w:rFonts w:ascii="Times New Roman" w:hAnsi="Times New Roman" w:eastAsia="Times New Roman"/>
                <w:b w:val="0"/>
                <w:i w:val="0"/>
                <w:sz w:val="18"/>
              </w:rPr>
            </w:r>
            <w:r>
              <w:rPr>
                <w:rFonts w:ascii="Courier New" w:hAnsi="Courier New" w:eastAsia="Courier New"/>
                <w:b w:val="0"/>
                <w:i w:val="0"/>
                <w:sz w:val="17"/>
              </w:rPr>
            </w:r>
          </w:p>
        </w:tc>
        <w:tc>
          <w:tcPr>
            <w:tcW w:type="dxa" w:w="2091"/>
            <w:vAlign w:val="center"/>
          </w:tcPr>
          <w:p>
            <w:pPr>
              <w:spacing w:after="20" w:before="20"/>
              <w:ind w:firstLine="0"/>
              <w:jc w:val="left"/>
            </w:pPr>
            <w:r>
              <w:rPr>
                <w:rFonts w:ascii="Times New Roman" w:hAnsi="Times New Roman" w:eastAsia="Times New Roman"/>
                <w:b/>
                <w:i w:val="0"/>
                <w:sz w:val="18"/>
              </w:rPr>
              <w:t>CANDIDATE IMPLEMENTATION</w:t>
            </w:r>
          </w:p>
        </w:tc>
        <w:tc>
          <w:tcPr>
            <w:tcW w:type="dxa" w:w="2727"/>
            <w:vAlign w:val="center"/>
          </w:tcPr>
          <w:p>
            <w:pPr>
              <w:spacing w:after="20" w:before="20"/>
              <w:ind w:firstLine="0"/>
              <w:jc w:val="left"/>
            </w:pPr>
            <w:r>
              <w:rPr>
                <w:rFonts w:ascii="Times New Roman" w:hAnsi="Times New Roman" w:eastAsia="Times New Roman"/>
                <w:b w:val="0"/>
                <w:i w:val="0"/>
                <w:sz w:val="18"/>
              </w:rPr>
              <w:t>choose one name in bootstrap and adapter mapping</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 xml:space="preserve">Mapping </w:t>
            </w:r>
            <w:r>
              <w:rPr>
                <w:rFonts w:ascii="Courier New" w:hAnsi="Courier New" w:eastAsia="Courier New"/>
                <w:b w:val="0"/>
                <w:i w:val="0"/>
                <w:sz w:val="17"/>
              </w:rPr>
              <w:t>Country</w:t>
            </w:r>
          </w:p>
        </w:tc>
        <w:tc>
          <w:tcPr>
            <w:tcW w:type="dxa" w:w="2727"/>
            <w:vAlign w:val="center"/>
          </w:tcPr>
          <w:p>
            <w:pPr>
              <w:spacing w:after="20" w:before="20"/>
              <w:ind w:firstLine="0"/>
              <w:jc w:val="left"/>
            </w:pPr>
            <w:r>
              <w:rPr>
                <w:rFonts w:ascii="Times New Roman" w:hAnsi="Times New Roman" w:eastAsia="Times New Roman"/>
                <w:b w:val="0"/>
                <w:i w:val="0"/>
                <w:sz w:val="18"/>
              </w:rPr>
              <w:t>Customer.Country and Invoice.BillingCountry were considered</w:t>
            </w:r>
            <w:r>
              <w:rPr>
                <w:rFonts w:ascii="Courier New" w:hAnsi="Courier New" w:eastAsia="Courier New"/>
                <w:b w:val="0"/>
                <w:i w:val="0"/>
                <w:sz w:val="17"/>
              </w:rPr>
            </w:r>
            <w:r>
              <w:rPr>
                <w:rFonts w:ascii="Times New Roman" w:hAnsi="Times New Roman" w:eastAsia="Times New Roman"/>
                <w:b w:val="0"/>
                <w:i w:val="0"/>
                <w:sz w:val="18"/>
              </w:rPr>
            </w:r>
            <w:r>
              <w:rPr>
                <w:rFonts w:ascii="Courier New" w:hAnsi="Courier New" w:eastAsia="Courier New"/>
                <w:b w:val="0"/>
                <w:i w:val="0"/>
                <w:sz w:val="17"/>
              </w:rPr>
            </w:r>
          </w:p>
        </w:tc>
        <w:tc>
          <w:tcPr>
            <w:tcW w:type="dxa" w:w="2091"/>
            <w:vAlign w:val="center"/>
          </w:tcPr>
          <w:p>
            <w:pPr>
              <w:spacing w:after="20" w:before="20"/>
              <w:ind w:firstLine="0"/>
              <w:jc w:val="left"/>
            </w:pPr>
            <w:r>
              <w:rPr>
                <w:rFonts w:ascii="Times New Roman" w:hAnsi="Times New Roman" w:eastAsia="Times New Roman"/>
                <w:b/>
                <w:i w:val="0"/>
                <w:sz w:val="18"/>
              </w:rPr>
              <w:t>DECISION REQUIRED BEFORE ACCEPTANCE</w:t>
            </w:r>
          </w:p>
        </w:tc>
        <w:tc>
          <w:tcPr>
            <w:tcW w:type="dxa" w:w="2727"/>
            <w:vAlign w:val="center"/>
          </w:tcPr>
          <w:p>
            <w:pPr>
              <w:spacing w:after="20" w:before="20"/>
              <w:ind w:firstLine="0"/>
              <w:jc w:val="left"/>
            </w:pPr>
            <w:r>
              <w:rPr>
                <w:rFonts w:ascii="Times New Roman" w:hAnsi="Times New Roman" w:eastAsia="Times New Roman"/>
                <w:b w:val="0"/>
                <w:i w:val="0"/>
                <w:sz w:val="18"/>
              </w:rPr>
              <w:t>first fix the business semantics of the field; the Actor contract does not depend on the choice</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Per-Subject row filtering</w:t>
            </w:r>
          </w:p>
        </w:tc>
        <w:tc>
          <w:tcPr>
            <w:tcW w:type="dxa" w:w="2727"/>
            <w:vAlign w:val="center"/>
          </w:tcPr>
          <w:p>
            <w:pPr>
              <w:spacing w:after="20" w:before="20"/>
              <w:ind w:firstLine="0"/>
              <w:jc w:val="left"/>
            </w:pPr>
            <w:r>
              <w:rPr>
                <w:rFonts w:ascii="Times New Roman" w:hAnsi="Times New Roman" w:eastAsia="Times New Roman"/>
                <w:b w:val="0"/>
                <w:i w:val="0"/>
                <w:sz w:val="18"/>
              </w:rPr>
              <w:t>Application/Policy layer, without PostgreSQL RLS in v0.1</w:t>
            </w:r>
          </w:p>
        </w:tc>
        <w:tc>
          <w:tcPr>
            <w:tcW w:type="dxa" w:w="2091"/>
            <w:vAlign w:val="center"/>
          </w:tcPr>
          <w:p>
            <w:pPr>
              <w:spacing w:after="20" w:before="20"/>
              <w:ind w:firstLine="0"/>
              <w:jc w:val="left"/>
            </w:pPr>
            <w:r>
              <w:rPr>
                <w:rFonts w:ascii="Times New Roman" w:hAnsi="Times New Roman" w:eastAsia="Times New Roman"/>
                <w:b/>
                <w:i w:val="0"/>
                <w:sz w:val="18"/>
              </w:rPr>
              <w:t>ACCEPTED ARCHITECTURAL DIRECTION</w:t>
            </w:r>
          </w:p>
        </w:tc>
        <w:tc>
          <w:tcPr>
            <w:tcW w:type="dxa" w:w="2727"/>
            <w:vAlign w:val="center"/>
          </w:tcPr>
          <w:p>
            <w:pPr>
              <w:spacing w:after="20" w:before="20"/>
              <w:ind w:firstLine="0"/>
              <w:jc w:val="left"/>
            </w:pPr>
            <w:r>
              <w:rPr>
                <w:rFonts w:ascii="Times New Roman" w:hAnsi="Times New Roman" w:eastAsia="Times New Roman"/>
                <w:b w:val="0"/>
                <w:i w:val="0"/>
                <w:sz w:val="18"/>
              </w:rPr>
              <w:t>residual risk remains explicitly testable/documented</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Audit</w:t>
            </w:r>
          </w:p>
        </w:tc>
        <w:tc>
          <w:tcPr>
            <w:tcW w:type="dxa" w:w="2727"/>
            <w:vAlign w:val="center"/>
          </w:tcPr>
          <w:p>
            <w:pPr>
              <w:spacing w:after="20" w:before="20"/>
              <w:ind w:firstLine="0"/>
              <w:jc w:val="left"/>
            </w:pPr>
            <w:r>
              <w:rPr>
                <w:rFonts w:ascii="Times New Roman" w:hAnsi="Times New Roman" w:eastAsia="Times New Roman"/>
                <w:b w:val="0"/>
                <w:i w:val="0"/>
                <w:sz w:val="18"/>
              </w:rPr>
              <w:t>append-only application semantics; ALLOW/DENY mandatory</w:t>
            </w:r>
          </w:p>
        </w:tc>
        <w:tc>
          <w:tcPr>
            <w:tcW w:type="dxa" w:w="2091"/>
            <w:vAlign w:val="center"/>
          </w:tcPr>
          <w:p>
            <w:pPr>
              <w:spacing w:after="20" w:before="20"/>
              <w:ind w:firstLine="0"/>
              <w:jc w:val="left"/>
            </w:pPr>
            <w:r>
              <w:rPr>
                <w:rFonts w:ascii="Times New Roman" w:hAnsi="Times New Roman" w:eastAsia="Times New Roman"/>
                <w:b/>
                <w:i w:val="0"/>
                <w:sz w:val="18"/>
              </w:rPr>
              <w:t>FIXED BY TZ</w:t>
            </w:r>
          </w:p>
        </w:tc>
        <w:tc>
          <w:tcPr>
            <w:tcW w:type="dxa" w:w="2727"/>
            <w:vAlign w:val="center"/>
          </w:tcPr>
          <w:p>
            <w:pPr>
              <w:spacing w:after="20" w:before="20"/>
              <w:ind w:firstLine="0"/>
              <w:jc w:val="left"/>
            </w:pPr>
            <w:r>
              <w:rPr>
                <w:rFonts w:ascii="Times New Roman" w:hAnsi="Times New Roman" w:eastAsia="Times New Roman"/>
                <w:b w:val="0"/>
                <w:i w:val="0"/>
                <w:sz w:val="18"/>
              </w:rPr>
              <w:t xml:space="preserve">audit-before-release; failure → </w:t>
            </w:r>
            <w:r>
              <w:rPr>
                <w:rFonts w:ascii="Courier New" w:hAnsi="Courier New" w:eastAsia="Courier New"/>
                <w:b w:val="0"/>
                <w:i w:val="0"/>
                <w:sz w:val="17"/>
              </w:rPr>
              <w:t>503 / audit_write_failed</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C# immutable records</w:t>
            </w:r>
          </w:p>
        </w:tc>
        <w:tc>
          <w:tcPr>
            <w:tcW w:type="dxa" w:w="2727"/>
            <w:vAlign w:val="center"/>
          </w:tcPr>
          <w:p>
            <w:pPr>
              <w:spacing w:after="20" w:before="20"/>
              <w:ind w:firstLine="0"/>
              <w:jc w:val="left"/>
            </w:pPr>
            <w:r>
              <w:rPr>
                <w:rFonts w:ascii="Times New Roman" w:hAnsi="Times New Roman" w:eastAsia="Times New Roman"/>
                <w:b w:val="0"/>
                <w:i w:val="0"/>
                <w:sz w:val="18"/>
              </w:rPr>
              <w:t>early candidate for the Domain model</w:t>
            </w:r>
          </w:p>
        </w:tc>
        <w:tc>
          <w:tcPr>
            <w:tcW w:type="dxa" w:w="2091"/>
            <w:vAlign w:val="center"/>
          </w:tcPr>
          <w:p>
            <w:pPr>
              <w:spacing w:after="20" w:before="20"/>
              <w:ind w:firstLine="0"/>
              <w:jc w:val="left"/>
            </w:pPr>
            <w:r>
              <w:rPr>
                <w:rFonts w:ascii="Times New Roman" w:hAnsi="Times New Roman" w:eastAsia="Times New Roman"/>
                <w:b/>
                <w:i w:val="0"/>
                <w:sz w:val="18"/>
              </w:rPr>
              <w:t>CANDIDATE IMPLEMENTATION</w:t>
            </w:r>
          </w:p>
        </w:tc>
        <w:tc>
          <w:tcPr>
            <w:tcW w:type="dxa" w:w="2727"/>
            <w:vAlign w:val="center"/>
          </w:tcPr>
          <w:p>
            <w:pPr>
              <w:spacing w:after="20" w:before="20"/>
              <w:ind w:firstLine="0"/>
              <w:jc w:val="left"/>
            </w:pPr>
            <w:r>
              <w:rPr>
                <w:rFonts w:ascii="Times New Roman" w:hAnsi="Times New Roman" w:eastAsia="Times New Roman"/>
                <w:b w:val="0"/>
                <w:i w:val="0"/>
                <w:sz w:val="18"/>
              </w:rPr>
              <w:t>use as a starting point, but do not treat as final API before compilation/tests</w:t>
            </w:r>
          </w:p>
        </w:tc>
      </w:tr>
      <w:tr>
        <w:trPr>
          <w:cantSplit/>
        </w:trPr>
        <w:tc>
          <w:tcPr>
            <w:tcW w:type="dxa" w:w="2091"/>
            <w:vAlign w:val="center"/>
          </w:tcPr>
          <w:p>
            <w:pPr>
              <w:spacing w:after="20" w:before="20"/>
              <w:ind w:firstLine="0"/>
              <w:jc w:val="left"/>
            </w:pPr>
            <w:r>
              <w:rPr>
                <w:rFonts w:ascii="Courier New" w:hAnsi="Courier New" w:eastAsia="Courier New"/>
                <w:b w:val="0"/>
                <w:i w:val="0"/>
                <w:sz w:val="17"/>
              </w:rPr>
              <w:t>AuthorizationPolicyEvaluator</w:t>
            </w:r>
          </w:p>
        </w:tc>
        <w:tc>
          <w:tcPr>
            <w:tcW w:type="dxa" w:w="2727"/>
            <w:vAlign w:val="center"/>
          </w:tcPr>
          <w:p>
            <w:pPr>
              <w:spacing w:after="20" w:before="20"/>
              <w:ind w:firstLine="0"/>
              <w:jc w:val="left"/>
            </w:pPr>
            <w:r>
              <w:rPr>
                <w:rFonts w:ascii="Times New Roman" w:hAnsi="Times New Roman" w:eastAsia="Times New Roman"/>
                <w:b w:val="0"/>
                <w:i w:val="0"/>
                <w:sz w:val="18"/>
              </w:rPr>
              <w:t>discussed as the next Application component</w:t>
            </w:r>
          </w:p>
        </w:tc>
        <w:tc>
          <w:tcPr>
            <w:tcW w:type="dxa" w:w="2091"/>
            <w:vAlign w:val="center"/>
          </w:tcPr>
          <w:p>
            <w:pPr>
              <w:spacing w:after="20" w:before="20"/>
              <w:ind w:firstLine="0"/>
              <w:jc w:val="left"/>
            </w:pPr>
            <w:r>
              <w:rPr>
                <w:rFonts w:ascii="Times New Roman" w:hAnsi="Times New Roman" w:eastAsia="Times New Roman"/>
                <w:b/>
                <w:i w:val="0"/>
                <w:sz w:val="18"/>
              </w:rPr>
              <w:t>CANDIDATE IMPLEMENTATION</w:t>
            </w:r>
          </w:p>
        </w:tc>
        <w:tc>
          <w:tcPr>
            <w:tcW w:type="dxa" w:w="2727"/>
            <w:vAlign w:val="center"/>
          </w:tcPr>
          <w:p>
            <w:pPr>
              <w:spacing w:after="20" w:before="20"/>
              <w:ind w:firstLine="0"/>
              <w:jc w:val="left"/>
            </w:pPr>
            <w:r>
              <w:rPr>
                <w:rFonts w:ascii="Times New Roman" w:hAnsi="Times New Roman" w:eastAsia="Times New Roman"/>
                <w:b w:val="0"/>
                <w:i w:val="0"/>
                <w:sz w:val="18"/>
              </w:rPr>
              <w:t>do not write it before contracts are fixed; then implement according to the §3.5 algorithm</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Docker/Compose</w:t>
            </w:r>
          </w:p>
        </w:tc>
        <w:tc>
          <w:tcPr>
            <w:tcW w:type="dxa" w:w="2727"/>
            <w:vAlign w:val="center"/>
          </w:tcPr>
          <w:p>
            <w:pPr>
              <w:spacing w:after="20" w:before="20"/>
              <w:ind w:firstLine="0"/>
              <w:jc w:val="left"/>
            </w:pPr>
            <w:r>
              <w:rPr>
                <w:rFonts w:ascii="Times New Roman" w:hAnsi="Times New Roman" w:eastAsia="Times New Roman"/>
                <w:b w:val="0"/>
                <w:i w:val="0"/>
                <w:sz w:val="18"/>
              </w:rPr>
              <w:t>owner-controlled reproducible environment</w:t>
            </w:r>
          </w:p>
        </w:tc>
        <w:tc>
          <w:tcPr>
            <w:tcW w:type="dxa" w:w="2091"/>
            <w:vAlign w:val="center"/>
          </w:tcPr>
          <w:p>
            <w:pPr>
              <w:spacing w:after="20" w:before="20"/>
              <w:ind w:firstLine="0"/>
              <w:jc w:val="left"/>
            </w:pPr>
            <w:r>
              <w:rPr>
                <w:rFonts w:ascii="Times New Roman" w:hAnsi="Times New Roman" w:eastAsia="Times New Roman"/>
                <w:b/>
                <w:i w:val="0"/>
                <w:sz w:val="18"/>
              </w:rPr>
              <w:t>ACCEPTED ARCHITECTURAL DIRECTION</w:t>
            </w:r>
          </w:p>
        </w:tc>
        <w:tc>
          <w:tcPr>
            <w:tcW w:type="dxa" w:w="2727"/>
            <w:vAlign w:val="center"/>
          </w:tcPr>
          <w:p>
            <w:pPr>
              <w:spacing w:after="20" w:before="20"/>
              <w:ind w:firstLine="0"/>
              <w:jc w:val="left"/>
            </w:pPr>
            <w:r>
              <w:rPr>
                <w:rFonts w:ascii="Times New Roman" w:hAnsi="Times New Roman" w:eastAsia="Times New Roman"/>
                <w:b w:val="0"/>
                <w:i w:val="0"/>
                <w:sz w:val="18"/>
              </w:rPr>
              <w:t>pin exact image/package versions; do not use latest</w:t>
            </w:r>
            <w:r>
              <w:rPr>
                <w:rFonts w:ascii="Courier New" w:hAnsi="Courier New" w:eastAsia="Courier New"/>
                <w:b w:val="0"/>
                <w:i w:val="0"/>
                <w:sz w:val="17"/>
              </w:rPr>
            </w:r>
            <w:r>
              <w:rPr>
                <w:rFonts w:ascii="Times New Roman" w:hAnsi="Times New Roman" w:eastAsia="Times New Roman"/>
                <w:b w:val="0"/>
                <w:i w:val="0"/>
                <w:sz w:val="18"/>
              </w:rPr>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Compose topology</w:t>
            </w:r>
          </w:p>
        </w:tc>
        <w:tc>
          <w:tcPr>
            <w:tcW w:type="dxa" w:w="2727"/>
            <w:vAlign w:val="center"/>
          </w:tcPr>
          <w:p>
            <w:pPr>
              <w:spacing w:after="20" w:before="20"/>
              <w:ind w:firstLine="0"/>
              <w:jc w:val="left"/>
            </w:pPr>
            <w:r>
              <w:rPr>
                <w:rFonts w:ascii="Times New Roman" w:hAnsi="Times New Roman" w:eastAsia="Times New Roman"/>
                <w:b w:val="0"/>
                <w:i w:val="0"/>
                <w:sz w:val="18"/>
              </w:rPr>
              <w:t>API + Platform Store + Corporate Data Source</w:t>
            </w:r>
          </w:p>
        </w:tc>
        <w:tc>
          <w:tcPr>
            <w:tcW w:type="dxa" w:w="2091"/>
            <w:vAlign w:val="center"/>
          </w:tcPr>
          <w:p>
            <w:pPr>
              <w:spacing w:after="20" w:before="20"/>
              <w:ind w:firstLine="0"/>
              <w:jc w:val="left"/>
            </w:pPr>
            <w:r>
              <w:rPr>
                <w:rFonts w:ascii="Times New Roman" w:hAnsi="Times New Roman" w:eastAsia="Times New Roman"/>
                <w:b/>
                <w:i w:val="0"/>
                <w:sz w:val="18"/>
              </w:rPr>
              <w:t>CANDIDATE IMPLEMENTATION</w:t>
            </w:r>
          </w:p>
        </w:tc>
        <w:tc>
          <w:tcPr>
            <w:tcW w:type="dxa" w:w="2727"/>
            <w:vAlign w:val="center"/>
          </w:tcPr>
          <w:p>
            <w:pPr>
              <w:spacing w:after="20" w:before="20"/>
              <w:ind w:firstLine="0"/>
              <w:jc w:val="left"/>
            </w:pPr>
            <w:r>
              <w:rPr>
                <w:rFonts w:ascii="Times New Roman" w:hAnsi="Times New Roman" w:eastAsia="Times New Roman"/>
                <w:b w:val="0"/>
                <w:i w:val="0"/>
                <w:sz w:val="18"/>
              </w:rPr>
              <w:t>exact service names/ports may be refined</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 xml:space="preserve">PostgreSQL image </w:t>
            </w:r>
            <w:r>
              <w:rPr>
                <w:rFonts w:ascii="Courier New" w:hAnsi="Courier New" w:eastAsia="Courier New"/>
                <w:b w:val="0"/>
                <w:i w:val="0"/>
                <w:sz w:val="17"/>
              </w:rPr>
              <w:t>16</w:t>
            </w:r>
          </w:p>
        </w:tc>
        <w:tc>
          <w:tcPr>
            <w:tcW w:type="dxa" w:w="2727"/>
            <w:vAlign w:val="center"/>
          </w:tcPr>
          <w:p>
            <w:pPr>
              <w:spacing w:after="20" w:before="20"/>
              <w:ind w:firstLine="0"/>
              <w:jc w:val="left"/>
            </w:pPr>
            <w:r>
              <w:rPr>
                <w:rFonts w:ascii="Times New Roman" w:hAnsi="Times New Roman" w:eastAsia="Times New Roman"/>
                <w:b w:val="0"/>
                <w:i w:val="0"/>
                <w:sz w:val="18"/>
              </w:rPr>
              <w:t>appeared in an early Compose variant</w:t>
            </w:r>
          </w:p>
        </w:tc>
        <w:tc>
          <w:tcPr>
            <w:tcW w:type="dxa" w:w="2091"/>
            <w:vAlign w:val="center"/>
          </w:tcPr>
          <w:p>
            <w:pPr>
              <w:spacing w:after="20" w:before="20"/>
              <w:ind w:firstLine="0"/>
              <w:jc w:val="left"/>
            </w:pPr>
            <w:r>
              <w:rPr>
                <w:rFonts w:ascii="Times New Roman" w:hAnsi="Times New Roman" w:eastAsia="Times New Roman"/>
                <w:b/>
                <w:i w:val="0"/>
                <w:sz w:val="18"/>
              </w:rPr>
              <w:t>CANDIDATE IMPLEMENTATION</w:t>
            </w:r>
          </w:p>
        </w:tc>
        <w:tc>
          <w:tcPr>
            <w:tcW w:type="dxa" w:w="2727"/>
            <w:vAlign w:val="center"/>
          </w:tcPr>
          <w:p>
            <w:pPr>
              <w:spacing w:after="20" w:before="20"/>
              <w:ind w:firstLine="0"/>
              <w:jc w:val="left"/>
            </w:pPr>
            <w:r>
              <w:rPr>
                <w:rFonts w:ascii="Times New Roman" w:hAnsi="Times New Roman" w:eastAsia="Times New Roman"/>
                <w:b w:val="0"/>
                <w:i w:val="0"/>
                <w:sz w:val="18"/>
              </w:rPr>
              <w:t>version is selected and pinned in the accepted manifest, not inherited automatically</w:t>
            </w:r>
          </w:p>
        </w:tc>
      </w:tr>
      <w:tr>
        <w:trPr>
          <w:cantSplit/>
        </w:trPr>
        <w:tc>
          <w:tcPr>
            <w:tcW w:type="dxa" w:w="2091"/>
            <w:vAlign w:val="center"/>
          </w:tcPr>
          <w:p>
            <w:pPr>
              <w:spacing w:after="20" w:before="20"/>
              <w:ind w:firstLine="0"/>
              <w:jc w:val="left"/>
            </w:pPr>
            <w:r>
              <w:rPr>
                <w:rFonts w:ascii="Courier New" w:hAnsi="Courier New" w:eastAsia="Courier New"/>
                <w:b w:val="0"/>
                <w:i w:val="0"/>
                <w:sz w:val="17"/>
              </w:rPr>
              <w:t>dateFrom</w:t>
            </w:r>
            <w:r>
              <w:rPr>
                <w:rFonts w:ascii="Times New Roman" w:hAnsi="Times New Roman" w:eastAsia="Times New Roman"/>
                <w:b w:val="0"/>
                <w:i w:val="0"/>
                <w:sz w:val="18"/>
              </w:rPr>
              <w:t xml:space="preserve"> query parameter</w:t>
            </w:r>
          </w:p>
        </w:tc>
        <w:tc>
          <w:tcPr>
            <w:tcW w:type="dxa" w:w="2727"/>
            <w:vAlign w:val="center"/>
          </w:tcPr>
          <w:p>
            <w:pPr>
              <w:spacing w:after="20" w:before="20"/>
              <w:ind w:firstLine="0"/>
              <w:jc w:val="left"/>
            </w:pPr>
            <w:r>
              <w:rPr>
                <w:rFonts w:ascii="Times New Roman" w:hAnsi="Times New Roman" w:eastAsia="Times New Roman"/>
                <w:b w:val="0"/>
                <w:i w:val="0"/>
                <w:sz w:val="18"/>
              </w:rPr>
              <w:t>appeared in one draft</w:t>
            </w:r>
          </w:p>
        </w:tc>
        <w:tc>
          <w:tcPr>
            <w:tcW w:type="dxa" w:w="2091"/>
            <w:vAlign w:val="center"/>
          </w:tcPr>
          <w:p>
            <w:pPr>
              <w:spacing w:after="20" w:before="20"/>
              <w:ind w:firstLine="0"/>
              <w:jc w:val="left"/>
            </w:pPr>
            <w:r>
              <w:rPr>
                <w:rFonts w:ascii="Times New Roman" w:hAnsi="Times New Roman" w:eastAsia="Times New Roman"/>
                <w:b/>
                <w:i w:val="0"/>
                <w:sz w:val="18"/>
              </w:rPr>
              <w:t>REJECTED / DO NOT REUSE</w:t>
            </w:r>
          </w:p>
        </w:tc>
        <w:tc>
          <w:tcPr>
            <w:tcW w:type="dxa" w:w="2727"/>
            <w:vAlign w:val="center"/>
          </w:tcPr>
          <w:p>
            <w:pPr>
              <w:spacing w:after="20" w:before="20"/>
              <w:ind w:firstLine="0"/>
              <w:jc w:val="left"/>
            </w:pPr>
            <w:r>
              <w:rPr>
                <w:rFonts w:ascii="Times New Roman" w:hAnsi="Times New Roman" w:eastAsia="Times New Roman"/>
                <w:b w:val="0"/>
                <w:i w:val="0"/>
                <w:sz w:val="18"/>
              </w:rPr>
              <w:t>country is the only application query parameter in v0.1</w:t>
            </w:r>
            <w:r>
              <w:rPr>
                <w:rFonts w:ascii="Courier New" w:hAnsi="Courier New" w:eastAsia="Courier New"/>
                <w:b w:val="0"/>
                <w:i w:val="0"/>
                <w:sz w:val="17"/>
              </w:rPr>
            </w:r>
          </w:p>
        </w:tc>
      </w:tr>
      <w:tr>
        <w:trPr>
          <w:cantSplit/>
        </w:trPr>
        <w:tc>
          <w:tcPr>
            <w:tcW w:type="dxa" w:w="2091"/>
            <w:vAlign w:val="center"/>
          </w:tcPr>
          <w:p>
            <w:pPr>
              <w:spacing w:after="20" w:before="20"/>
              <w:ind w:firstLine="0"/>
              <w:jc w:val="left"/>
            </w:pPr>
            <w:r>
              <w:rPr>
                <w:rFonts w:ascii="Courier New" w:hAnsi="Courier New" w:eastAsia="Courier New"/>
                <w:b w:val="0"/>
                <w:i w:val="0"/>
                <w:sz w:val="17"/>
              </w:rPr>
              <w:t>maxRows: 100</w:t>
            </w:r>
          </w:p>
        </w:tc>
        <w:tc>
          <w:tcPr>
            <w:tcW w:type="dxa" w:w="2727"/>
            <w:vAlign w:val="center"/>
          </w:tcPr>
          <w:p>
            <w:pPr>
              <w:spacing w:after="20" w:before="20"/>
              <w:ind w:firstLine="0"/>
              <w:jc w:val="left"/>
            </w:pPr>
            <w:r>
              <w:rPr>
                <w:rFonts w:ascii="Times New Roman" w:hAnsi="Times New Roman" w:eastAsia="Times New Roman"/>
                <w:b w:val="0"/>
                <w:i w:val="0"/>
                <w:sz w:val="18"/>
              </w:rPr>
              <w:t>appeared in one draft</w:t>
            </w:r>
          </w:p>
        </w:tc>
        <w:tc>
          <w:tcPr>
            <w:tcW w:type="dxa" w:w="2091"/>
            <w:vAlign w:val="center"/>
          </w:tcPr>
          <w:p>
            <w:pPr>
              <w:spacing w:after="20" w:before="20"/>
              <w:ind w:firstLine="0"/>
              <w:jc w:val="left"/>
            </w:pPr>
            <w:r>
              <w:rPr>
                <w:rFonts w:ascii="Times New Roman" w:hAnsi="Times New Roman" w:eastAsia="Times New Roman"/>
                <w:b/>
                <w:i w:val="0"/>
                <w:sz w:val="18"/>
              </w:rPr>
              <w:t>REJECTED / DO NOT REUSE as a numeric value</w:t>
            </w:r>
          </w:p>
        </w:tc>
        <w:tc>
          <w:tcPr>
            <w:tcW w:type="dxa" w:w="2727"/>
            <w:vAlign w:val="center"/>
          </w:tcPr>
          <w:p>
            <w:pPr>
              <w:spacing w:after="20" w:before="20"/>
              <w:ind w:firstLine="0"/>
              <w:jc w:val="left"/>
            </w:pPr>
            <w:r>
              <w:rPr>
                <w:rFonts w:ascii="Times New Roman" w:hAnsi="Times New Roman" w:eastAsia="Times New Roman"/>
                <w:b w:val="0"/>
                <w:i w:val="0"/>
                <w:sz w:val="18"/>
              </w:rPr>
              <w:t>the limit is mandatory, but the Technical Requirements did not approve the value 100</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Subject-only fallback</w:t>
            </w:r>
          </w:p>
        </w:tc>
        <w:tc>
          <w:tcPr>
            <w:tcW w:type="dxa" w:w="2727"/>
            <w:vAlign w:val="center"/>
          </w:tcPr>
          <w:p>
            <w:pPr>
              <w:spacing w:after="20" w:before="20"/>
              <w:ind w:firstLine="0"/>
              <w:jc w:val="left"/>
            </w:pPr>
            <w:r>
              <w:rPr>
                <w:rFonts w:ascii="Times New Roman" w:hAnsi="Times New Roman" w:eastAsia="Times New Roman"/>
                <w:b w:val="0"/>
                <w:i w:val="0"/>
                <w:sz w:val="18"/>
              </w:rPr>
              <w:t>appeared as a risk</w:t>
            </w:r>
          </w:p>
        </w:tc>
        <w:tc>
          <w:tcPr>
            <w:tcW w:type="dxa" w:w="2091"/>
            <w:vAlign w:val="center"/>
          </w:tcPr>
          <w:p>
            <w:pPr>
              <w:spacing w:after="20" w:before="20"/>
              <w:ind w:firstLine="0"/>
              <w:jc w:val="left"/>
            </w:pPr>
            <w:r>
              <w:rPr>
                <w:rFonts w:ascii="Times New Roman" w:hAnsi="Times New Roman" w:eastAsia="Times New Roman"/>
                <w:b/>
                <w:i w:val="0"/>
                <w:sz w:val="18"/>
              </w:rPr>
              <w:t>REJECTED / DO NOT REUSE</w:t>
            </w:r>
          </w:p>
        </w:tc>
        <w:tc>
          <w:tcPr>
            <w:tcW w:type="dxa" w:w="2727"/>
            <w:vAlign w:val="center"/>
          </w:tcPr>
          <w:p>
            <w:pPr>
              <w:spacing w:after="20" w:before="20"/>
              <w:ind w:firstLine="0"/>
              <w:jc w:val="left"/>
            </w:pPr>
            <w:r>
              <w:rPr>
                <w:rFonts w:ascii="Times New Roman" w:hAnsi="Times New Roman" w:eastAsia="Times New Roman"/>
                <w:b w:val="0"/>
                <w:i w:val="0"/>
                <w:sz w:val="18"/>
              </w:rPr>
              <w:t>missing/invalid act.sub is always an authentication failure</w:t>
            </w:r>
            <w:r>
              <w:rPr>
                <w:rFonts w:ascii="Courier New" w:hAnsi="Courier New" w:eastAsia="Courier New"/>
                <w:b w:val="0"/>
                <w:i w:val="0"/>
                <w:sz w:val="17"/>
              </w:rPr>
            </w:r>
            <w:r>
              <w:rPr>
                <w:rFonts w:ascii="Times New Roman" w:hAnsi="Times New Roman" w:eastAsia="Times New Roman"/>
                <w:b w:val="0"/>
                <w:i w:val="0"/>
                <w:sz w:val="18"/>
              </w:rPr>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"data physically cannot leave the perimeter"</w:t>
            </w:r>
          </w:p>
        </w:tc>
        <w:tc>
          <w:tcPr>
            <w:tcW w:type="dxa" w:w="2727"/>
            <w:vAlign w:val="center"/>
          </w:tcPr>
          <w:p>
            <w:pPr>
              <w:spacing w:after="20" w:before="20"/>
              <w:ind w:firstLine="0"/>
              <w:jc w:val="left"/>
            </w:pPr>
            <w:r>
              <w:rPr>
                <w:rFonts w:ascii="Times New Roman" w:hAnsi="Times New Roman" w:eastAsia="Times New Roman"/>
                <w:b w:val="0"/>
                <w:i w:val="0"/>
                <w:sz w:val="18"/>
              </w:rPr>
              <w:t>early wording that was too strong</w:t>
            </w:r>
          </w:p>
        </w:tc>
        <w:tc>
          <w:tcPr>
            <w:tcW w:type="dxa" w:w="2091"/>
            <w:vAlign w:val="center"/>
          </w:tcPr>
          <w:p>
            <w:pPr>
              <w:spacing w:after="20" w:before="20"/>
              <w:ind w:firstLine="0"/>
              <w:jc w:val="left"/>
            </w:pPr>
            <w:r>
              <w:rPr>
                <w:rFonts w:ascii="Times New Roman" w:hAnsi="Times New Roman" w:eastAsia="Times New Roman"/>
                <w:b/>
                <w:i w:val="0"/>
                <w:sz w:val="18"/>
              </w:rPr>
              <w:t>REJECTED / DO NOT REUSE</w:t>
            </w:r>
          </w:p>
        </w:tc>
        <w:tc>
          <w:tcPr>
            <w:tcW w:type="dxa" w:w="2727"/>
            <w:vAlign w:val="center"/>
          </w:tcPr>
          <w:p>
            <w:pPr>
              <w:spacing w:after="20" w:before="20"/>
              <w:ind w:firstLine="0"/>
              <w:jc w:val="left"/>
            </w:pPr>
            <w:r>
              <w:rPr>
                <w:rFonts w:ascii="Times New Roman" w:hAnsi="Times New Roman" w:eastAsia="Times New Roman"/>
                <w:b w:val="0"/>
                <w:i w:val="0"/>
                <w:sz w:val="18"/>
              </w:rPr>
              <w:t>downstream topology is outside the PDG guarantee</w:t>
            </w:r>
          </w:p>
        </w:tc>
      </w:tr>
      <w:tr>
        <w:trPr>
          <w:cantSplit/>
        </w:trPr>
        <w:tc>
          <w:tcPr>
            <w:tcW w:type="dxa" w:w="2091"/>
            <w:vAlign w:val="center"/>
          </w:tcPr>
          <w:p>
            <w:pPr>
              <w:spacing w:after="20" w:before="20"/>
              <w:ind w:firstLine="0"/>
              <w:jc w:val="left"/>
            </w:pPr>
            <w:r>
              <w:rPr>
                <w:rFonts w:ascii="Times New Roman" w:hAnsi="Times New Roman" w:eastAsia="Times New Roman"/>
                <w:b w:val="0"/>
                <w:i w:val="0"/>
                <w:sz w:val="18"/>
              </w:rPr>
              <w:t>"PDG works with any database"</w:t>
            </w:r>
          </w:p>
        </w:tc>
        <w:tc>
          <w:tcPr>
            <w:tcW w:type="dxa" w:w="2727"/>
            <w:vAlign w:val="center"/>
          </w:tcPr>
          <w:p>
            <w:pPr>
              <w:spacing w:after="20" w:before="20"/>
              <w:ind w:firstLine="0"/>
              <w:jc w:val="left"/>
            </w:pPr>
            <w:r>
              <w:rPr>
                <w:rFonts w:ascii="Times New Roman" w:hAnsi="Times New Roman" w:eastAsia="Times New Roman"/>
                <w:b w:val="0"/>
                <w:i w:val="0"/>
                <w:sz w:val="18"/>
              </w:rPr>
              <w:t>early wording that was too strong</w:t>
            </w:r>
          </w:p>
        </w:tc>
        <w:tc>
          <w:tcPr>
            <w:tcW w:type="dxa" w:w="2091"/>
            <w:vAlign w:val="center"/>
          </w:tcPr>
          <w:p>
            <w:pPr>
              <w:spacing w:after="20" w:before="20"/>
              <w:ind w:firstLine="0"/>
              <w:jc w:val="left"/>
            </w:pPr>
            <w:r>
              <w:rPr>
                <w:rFonts w:ascii="Times New Roman" w:hAnsi="Times New Roman" w:eastAsia="Times New Roman"/>
                <w:b/>
                <w:i w:val="0"/>
                <w:sz w:val="18"/>
              </w:rPr>
              <w:t>REJECTED / DO NOT REUSE</w:t>
            </w:r>
          </w:p>
        </w:tc>
        <w:tc>
          <w:tcPr>
            <w:tcW w:type="dxa" w:w="2727"/>
            <w:vAlign w:val="center"/>
          </w:tcPr>
          <w:p>
            <w:pPr>
              <w:spacing w:after="20" w:before="20"/>
              <w:ind w:firstLine="0"/>
              <w:jc w:val="left"/>
            </w:pPr>
            <w:r>
              <w:rPr>
                <w:rFonts w:ascii="Times New Roman" w:hAnsi="Times New Roman" w:eastAsia="Times New Roman"/>
                <w:b w:val="0"/>
                <w:i w:val="0"/>
                <w:sz w:val="18"/>
              </w:rPr>
              <w:t>PostgreSQL is the first provider; another provider requires adapter/configuration/testing</w:t>
            </w:r>
          </w:p>
        </w:tc>
      </w:tr>
    </w:tbl>
    <w:p>
      <w:pPr>
        <w:spacing w:after="20"/>
        <w:ind w:firstLine="0"/>
      </w:pPr>
    </w:p>
    <w:p>
      <w:r>
        <w:br w:type="page"/>
      </w:r>
    </w:p>
    <w:p>
      <w:pPr>
        <w:pStyle w:val="PZHeading1"/>
        <w:ind w:firstLine="0"/>
      </w:pPr>
      <w:r>
        <w:rPr>
          <w:rFonts w:ascii="Times New Roman" w:hAnsi="Times New Roman" w:eastAsia="Times New Roman"/>
          <w:b/>
          <w:i w:val="0"/>
          <w:sz w:val="30"/>
        </w:rPr>
        <w:t>Appendix B. Candidate Domain/Application model in C# 12</w:t>
      </w:r>
    </w:p>
    <w:p>
      <w:r>
        <w:rPr>
          <w:rFonts w:ascii="Times New Roman" w:hAnsi="Times New Roman" w:eastAsia="Times New Roman"/>
          <w:b/>
          <w:i w:val="0"/>
          <w:sz w:val="24"/>
        </w:rPr>
        <w:t>Appendix status: CANDIDATE IMPLEMENTATION.</w:t>
        <w:br/>
        <w:t>The code below preserves a technical idea proposed during Preliminary Design. It is not considered the final public API and may be adjusted during implementation without changing the architectural invariants of this Explanatory Note.</w:t>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B.1. Subject, Actor, and delegation</w:t>
      </w:r>
    </w:p>
    <w:p>
      <w:pPr>
        <w:pStyle w:val="PZCode"/>
        <w:ind w:left="170" w:right="113" w:firstLine="0"/>
        <w:shd w:fill="F2F2F2"/>
      </w:pPr>
      <w:r>
        <w:rPr>
          <w:rFonts w:ascii="Courier New" w:hAnsi="Courier New" w:eastAsia="Courier New"/>
          <w:sz w:val="17"/>
        </w:rPr>
        <w:t>public sealed record Subject(</w:t>
        <w:br/>
        <w:t xml:space="preserve">    string SubjectId,</w:t>
        <w:br/>
        <w:t xml:space="preserve">    string DisplayName,</w:t>
        <w:br/>
        <w:t xml:space="preserve">    IReadOnlySet&lt;string&gt; Roles</w:t>
        <w:br/>
        <w:t>);</w:t>
        <w:br/>
        <w:br/>
        <w:t>public sealed record Actor(</w:t>
        <w:br/>
        <w:t xml:space="preserve">    string ActorId,</w:t>
        <w:br/>
        <w:t xml:space="preserve">    string ActorType,</w:t>
        <w:br/>
        <w:t xml:space="preserve">    IReadOnlySet&lt;string&gt; AllowedCapabilities</w:t>
        <w:br/>
        <w:t>);</w:t>
        <w:br/>
        <w:br/>
        <w:t>public sealed record SubjectActorDelegation(</w:t>
        <w:br/>
        <w:t xml:space="preserve">    string SubjectId,</w:t>
        <w:br/>
        <w:t xml:space="preserve">    string ActorId,</w:t>
        <w:br/>
        <w:t xml:space="preserve">    DateTimeOffset GrantedAt,</w:t>
        <w:br/>
        <w:t xml:space="preserve">    DateTimeOffset? ExpiresAt,</w:t>
        <w:br/>
        <w:t xml:space="preserve">    bool IsActive</w:t>
        <w:br/>
        <w:t>);</w:t>
        <w:br/>
        <w:br/>
        <w:t>public sealed record EffectivePrincipal(</w:t>
        <w:br/>
        <w:t xml:space="preserve">    Subject Subject,</w:t>
        <w:br/>
        <w:t xml:space="preserve">    Actor Actor,</w:t>
        <w:br/>
        <w:t xml:space="preserve">    SubjectActorDelegation? Delegation,</w:t>
        <w:br/>
        <w:t xml:space="preserve">    IReadOnlySet&lt;string&gt; RequestedCapabilities</w:t>
        <w:br/>
        <w:t>);</w:t>
      </w:r>
    </w:p>
    <w:p>
      <w:r>
        <w:rPr>
          <w:rFonts w:ascii="Times New Roman" w:hAnsi="Times New Roman" w:eastAsia="Times New Roman"/>
          <w:b w:val="0"/>
          <w:i w:val="0"/>
          <w:sz w:val="24"/>
        </w:rPr>
        <w:t>This option is useful because Subject and Actor neither inherit from one another nor merge into one identity. SubjectActorDelegation exists as an independent entity rather than as an implicit consequence of both identifiers appearing in one JWT.</w:t>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During implementation, it should be verified whether DisplayName, Roles, GrantedAt, ExpiresAt, and IsActive are actually required in Domain v0.1. Their presence in this appendix means they are preserved candidates, not mandatory fields.</w:t>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B.2. Published Resource</w:t>
      </w:r>
    </w:p>
    <w:p>
      <w:r>
        <w:rPr>
          <w:rFonts w:ascii="Times New Roman" w:hAnsi="Times New Roman" w:eastAsia="Times New Roman"/>
          <w:b w:val="0"/>
          <w:i w:val="0"/>
          <w:sz w:val="24"/>
        </w:rPr>
        <w:t>Early candidate:</w:t>
      </w:r>
    </w:p>
    <w:p>
      <w:pPr>
        <w:pStyle w:val="PZCode"/>
        <w:ind w:left="170" w:right="113" w:firstLine="0"/>
        <w:shd w:fill="F2F2F2"/>
      </w:pPr>
      <w:r>
        <w:rPr>
          <w:rFonts w:ascii="Courier New" w:hAnsi="Courier New" w:eastAsia="Courier New"/>
          <w:sz w:val="17"/>
        </w:rPr>
        <w:t>public sealed record PublishedResource(</w:t>
        <w:br/>
        <w:t xml:space="preserve">    string ResourceName,</w:t>
        <w:br/>
        <w:t xml:space="preserve">    string RequiredCapability,</w:t>
        <w:br/>
        <w:t xml:space="preserve">    IReadOnlyDictionary&lt;string, ResourceParameter&gt; Parameters,</w:t>
        <w:br/>
        <w:t xml:space="preserve">    IReadOnlySet&lt;string&gt; AllowedOutputColumns,</w:t>
        <w:br/>
        <w:t xml:space="preserve">    int MaxRows</w:t>
        <w:br/>
        <w:t>);</w:t>
        <w:br/>
        <w:br/>
        <w:t>public sealed record ResourceParameter(</w:t>
        <w:br/>
        <w:t xml:space="preserve">    string Name,</w:t>
        <w:br/>
        <w:t xml:space="preserve">    ParameterType Type,</w:t>
        <w:br/>
        <w:t xml:space="preserve">    bool Required,</w:t>
        <w:br/>
        <w:t xml:space="preserve">    string? AllowedValuesSource</w:t>
        <w:br/>
        <w:t>);</w:t>
      </w:r>
    </w:p>
    <w:p>
      <w:r>
        <w:rPr>
          <w:rFonts w:ascii="Times New Roman" w:hAnsi="Times New Roman" w:eastAsia="Times New Roman"/>
          <w:b w:val="0"/>
          <w:i w:val="0"/>
          <w:sz w:val="24"/>
        </w:rPr>
        <w:t>The key meaning of this option is retained:</w:t>
      </w:r>
    </w:p>
    <w:p>
      <w:pPr>
        <w:pStyle w:val="PZList"/>
        <w:ind w:left="454" w:hanging="283"/>
      </w:pPr>
      <w:r>
        <w:rPr>
          <w:rFonts w:ascii="Times New Roman" w:hAnsi="Times New Roman" w:eastAsia="Times New Roman"/>
          <w:sz w:val="24"/>
        </w:rPr>
        <w:t>• ResourceName - the Actor selects a business resource, not a table;</w:t>
      </w:r>
      <w:r>
        <w:rPr>
          <w:rFonts w:ascii="Courier New" w:hAnsi="Courier New" w:eastAsia="Courier New"/>
          <w:b w:val="0"/>
          <w:i w:val="0"/>
          <w:sz w:val="23"/>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RequiredCapability - capability is part of the contract;</w:t>
      </w:r>
      <w:r>
        <w:rPr>
          <w:rFonts w:ascii="Courier New" w:hAnsi="Courier New" w:eastAsia="Courier New"/>
          <w:b w:val="0"/>
          <w:i w:val="0"/>
          <w:sz w:val="23"/>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Parameters - parameter allow-list;</w:t>
      </w:r>
      <w:r>
        <w:rPr>
          <w:rFonts w:ascii="Courier New" w:hAnsi="Courier New" w:eastAsia="Courier New"/>
          <w:b w:val="0"/>
          <w:i w:val="0"/>
          <w:sz w:val="23"/>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xml:space="preserve">• </w:t>
      </w:r>
      <w:r>
        <w:rPr>
          <w:rFonts w:ascii="Courier New" w:hAnsi="Courier New" w:eastAsia="Courier New"/>
          <w:b w:val="0"/>
          <w:i w:val="0"/>
          <w:sz w:val="23"/>
        </w:rPr>
        <w:t>AllowedOutputColumns</w:t>
      </w:r>
      <w:r>
        <w:rPr>
          <w:rFonts w:ascii="Times New Roman" w:hAnsi="Times New Roman" w:eastAsia="Times New Roman"/>
          <w:b w:val="0"/>
          <w:i w:val="0"/>
          <w:sz w:val="24"/>
        </w:rPr>
        <w:t xml:space="preserve"> — fixed projection;</w:t>
      </w:r>
    </w:p>
    <w:p>
      <w:pPr>
        <w:pStyle w:val="PZList"/>
        <w:ind w:left="454" w:hanging="283"/>
      </w:pPr>
      <w:r>
        <w:rPr>
          <w:rFonts w:ascii="Times New Roman" w:hAnsi="Times New Roman" w:eastAsia="Times New Roman"/>
          <w:sz w:val="24"/>
        </w:rPr>
        <w:t xml:space="preserve">• </w:t>
      </w:r>
      <w:r>
        <w:rPr>
          <w:rFonts w:ascii="Courier New" w:hAnsi="Courier New" w:eastAsia="Courier New"/>
          <w:b w:val="0"/>
          <w:i w:val="0"/>
          <w:sz w:val="23"/>
        </w:rPr>
        <w:t>MaxRows</w:t>
      </w:r>
      <w:r>
        <w:rPr>
          <w:rFonts w:ascii="Times New Roman" w:hAnsi="Times New Roman" w:eastAsia="Times New Roman"/>
          <w:b w:val="0"/>
          <w:i w:val="0"/>
          <w:sz w:val="24"/>
        </w:rPr>
        <w:t xml:space="preserve"> — server-side limit.</w:t>
      </w:r>
    </w:p>
    <w:p>
      <w:r>
        <w:rPr>
          <w:rFonts w:ascii="Times New Roman" w:hAnsi="Times New Roman" w:eastAsia="Times New Roman"/>
          <w:b w:val="0"/>
          <w:i w:val="0"/>
          <w:sz w:val="24"/>
        </w:rPr>
        <w:t>This appendix does not define a numeric MaxRows value. The early draft maxRows: 100 is rejected as an unapproved constant.</w:t>
      </w:r>
      <w:r>
        <w:rPr>
          <w:rFonts w:ascii="Courier New" w:hAnsi="Courier New" w:eastAsia="Courier New"/>
          <w:b w:val="0"/>
          <w:i w:val="0"/>
          <w:sz w:val="23"/>
        </w:rPr>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For SalesSummary, the candidate declarative contract is:</w:t>
      </w:r>
      <w:r>
        <w:rPr>
          <w:rFonts w:ascii="Courier New" w:hAnsi="Courier New" w:eastAsia="Courier New"/>
          <w:b w:val="0"/>
          <w:i w:val="0"/>
          <w:sz w:val="23"/>
        </w:rPr>
      </w:r>
      <w:r>
        <w:rPr>
          <w:rFonts w:ascii="Times New Roman" w:hAnsi="Times New Roman" w:eastAsia="Times New Roman"/>
          <w:b w:val="0"/>
          <w:i w:val="0"/>
          <w:sz w:val="24"/>
        </w:rPr>
      </w:r>
    </w:p>
    <w:p>
      <w:pPr>
        <w:pStyle w:val="PZCode"/>
        <w:ind w:left="170" w:right="113" w:firstLine="0"/>
        <w:shd w:fill="F2F2F2"/>
      </w:pPr>
      <w:r>
        <w:rPr>
          <w:rFonts w:ascii="Courier New" w:hAnsi="Courier New" w:eastAsia="Courier New"/>
          <w:sz w:val="17"/>
        </w:rPr>
        <w:t>SalesSummary:</w:t>
        <w:br/>
        <w:t xml:space="preserve">  resource: "SalesSummary"</w:t>
        <w:br/>
        <w:t xml:space="preserve">  requiredCapability: "sales.read"</w:t>
        <w:br/>
        <w:t xml:space="preserve">  parameters:</w:t>
        <w:br/>
        <w:t xml:space="preserve">    - name: country</w:t>
        <w:br/>
        <w:t xml:space="preserve">      type: string</w:t>
        <w:br/>
        <w:t xml:space="preserve">      required: false</w:t>
        <w:br/>
        <w:t xml:space="preserve">      semantics: optional explicit row-scope filter</w:t>
        <w:br/>
        <w:t xml:space="preserve">  allowedOutputs:</w:t>
        <w:br/>
        <w:t xml:space="preserve">    - CustomerId</w:t>
        <w:br/>
        <w:t xml:space="preserve">    - Country</w:t>
        <w:br/>
        <w:t xml:space="preserve">    - InvoiceDate</w:t>
        <w:br/>
        <w:t xml:space="preserve">    - Total</w:t>
        <w:br/>
        <w:t xml:space="preserve">  serverResultLimit: "&lt;value-fixed-in-accepted-demo-config&gt;"</w:t>
      </w:r>
    </w:p>
    <w:p>
      <w:pPr>
        <w:pStyle w:val="PZHeading2"/>
        <w:ind w:firstLine="0"/>
      </w:pPr>
      <w:r>
        <w:rPr>
          <w:rFonts w:ascii="Times New Roman" w:hAnsi="Times New Roman" w:eastAsia="Times New Roman"/>
          <w:b/>
          <w:i w:val="0"/>
          <w:sz w:val="26"/>
        </w:rPr>
        <w:t>B.3. SalesSummary output row</w:t>
      </w:r>
      <w:r>
        <w:rPr>
          <w:rFonts w:ascii="Courier New" w:hAnsi="Courier New" w:eastAsia="Courier New"/>
          <w:b/>
          <w:i w:val="0"/>
          <w:sz w:val="25"/>
        </w:rPr>
      </w:r>
    </w:p>
    <w:p>
      <w:r>
        <w:rPr>
          <w:rFonts w:ascii="Times New Roman" w:hAnsi="Times New Roman" w:eastAsia="Times New Roman"/>
          <w:b w:val="0"/>
          <w:i w:val="0"/>
          <w:sz w:val="24"/>
        </w:rPr>
        <w:t>The following DTO/record was proposed earlier:</w:t>
      </w:r>
    </w:p>
    <w:p>
      <w:pPr>
        <w:pStyle w:val="PZCode"/>
        <w:ind w:left="170" w:right="113" w:firstLine="0"/>
        <w:shd w:fill="F2F2F2"/>
      </w:pPr>
      <w:r>
        <w:rPr>
          <w:rFonts w:ascii="Courier New" w:hAnsi="Courier New" w:eastAsia="Courier New"/>
          <w:sz w:val="17"/>
        </w:rPr>
        <w:t>public sealed record SalesSummaryRow(</w:t>
        <w:br/>
        <w:t xml:space="preserve">    int CustomerId,</w:t>
        <w:br/>
        <w:t xml:space="preserve">    string Country,</w:t>
        <w:br/>
        <w:t xml:space="preserve">    DateOnly InvoiceDate,</w:t>
        <w:br/>
        <w:t xml:space="preserve">    decimal Total</w:t>
        <w:br/>
        <w:t>);</w:t>
      </w:r>
    </w:p>
    <w:p>
      <w:r>
        <w:rPr>
          <w:rFonts w:ascii="Times New Roman" w:hAnsi="Times New Roman" w:eastAsia="Times New Roman"/>
          <w:b w:val="0"/>
          <w:i w:val="0"/>
          <w:sz w:val="24"/>
        </w:rPr>
        <w:t>This type may be used as a starting candidate. The choice of DateOnly, numeric precision for Total, and mapping of physical Chinook types must be confirmed by the concrete provider mapping and tests.</w:t>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B.4. Effective Access result</w:t>
      </w:r>
    </w:p>
    <w:p>
      <w:r>
        <w:rPr>
          <w:rFonts w:ascii="Times New Roman" w:hAnsi="Times New Roman" w:eastAsia="Times New Roman"/>
          <w:b w:val="0"/>
          <w:i w:val="0"/>
          <w:sz w:val="24"/>
        </w:rPr>
        <w:t>An early option contained AllowedCountries; it was too tightly coupled to the demo scenario. For continued implementation, the immutable-result idea should be retained without binding the general mechanism to a single dimension:</w:t>
      </w:r>
      <w:r>
        <w:rPr>
          <w:rFonts w:ascii="Courier New" w:hAnsi="Courier New" w:eastAsia="Courier New"/>
          <w:b w:val="0"/>
          <w:i w:val="0"/>
          <w:sz w:val="23"/>
        </w:rPr>
      </w:r>
      <w:r>
        <w:rPr>
          <w:rFonts w:ascii="Times New Roman" w:hAnsi="Times New Roman" w:eastAsia="Times New Roman"/>
          <w:b w:val="0"/>
          <w:i w:val="0"/>
          <w:sz w:val="24"/>
        </w:rPr>
      </w:r>
    </w:p>
    <w:p>
      <w:pPr>
        <w:pStyle w:val="PZCode"/>
        <w:ind w:left="170" w:right="113" w:firstLine="0"/>
        <w:shd w:fill="F2F2F2"/>
      </w:pPr>
      <w:r>
        <w:rPr>
          <w:rFonts w:ascii="Courier New" w:hAnsi="Courier New" w:eastAsia="Courier New"/>
          <w:sz w:val="17"/>
        </w:rPr>
        <w:t>public sealed record RowScope(</w:t>
        <w:br/>
        <w:t xml:space="preserve">    IReadOnlyDictionary&lt;string, IReadOnlySet&lt;string&gt;&gt; Dimensions</w:t>
        <w:br/>
        <w:t>);</w:t>
        <w:br/>
        <w:br/>
        <w:t>public sealed record EffectiveAccessDecision(</w:t>
        <w:br/>
        <w:t xml:space="preserve">    bool Allowed,</w:t>
        <w:br/>
        <w:t xml:space="preserve">    RowScope? EffectiveRowScope,</w:t>
        <w:br/>
        <w:t xml:space="preserve">    string ReasonCategory</w:t>
        <w:br/>
        <w:t>);</w:t>
      </w:r>
    </w:p>
    <w:p>
      <w:r>
        <w:rPr>
          <w:rFonts w:ascii="Times New Roman" w:hAnsi="Times New Roman" w:eastAsia="Times New Roman"/>
          <w:b w:val="0"/>
          <w:i w:val="0"/>
          <w:sz w:val="24"/>
        </w:rPr>
        <w:t>Possible Application contract:</w:t>
      </w:r>
    </w:p>
    <w:p>
      <w:pPr>
        <w:pStyle w:val="PZCode"/>
        <w:ind w:left="170" w:right="113" w:firstLine="0"/>
        <w:shd w:fill="F2F2F2"/>
      </w:pPr>
      <w:r>
        <w:rPr>
          <w:rFonts w:ascii="Courier New" w:hAnsi="Courier New" w:eastAsia="Courier New"/>
          <w:sz w:val="17"/>
        </w:rPr>
        <w:t>public interface IAccessPolicyEvaluator</w:t>
        <w:br/>
        <w:t>{</w:t>
        <w:br/>
        <w:t xml:space="preserve">    ValueTask&lt;EffectiveAccessDecision&gt; EvaluateAsync(</w:t>
        <w:br/>
        <w:t xml:space="preserve">        ValidatedTokenContext token,</w:t>
        <w:br/>
        <w:t xml:space="preserve">        PublishedResource resource,</w:t>
        <w:br/>
        <w:t xml:space="preserve">        IReadOnlyDictionary&lt;string, string?&gt; requestedParameters,</w:t>
        <w:br/>
        <w:t xml:space="preserve">        CancellationToken cancellationToken);</w:t>
        <w:br/>
        <w:t>}</w:t>
      </w:r>
    </w:p>
    <w:p>
      <w:r>
        <w:rPr>
          <w:rFonts w:ascii="Times New Roman" w:hAnsi="Times New Roman" w:eastAsia="Times New Roman"/>
          <w:b w:val="0"/>
          <w:i w:val="0"/>
          <w:sz w:val="24"/>
        </w:rPr>
        <w:t>This interface is a candidate. What is normative is not its name or signature, but the algorithm in §3.5 and the Effective Access formula.</w:t>
      </w:r>
    </w:p>
    <w:p>
      <w:pPr>
        <w:pStyle w:val="PZHeading2"/>
        <w:ind w:firstLine="0"/>
      </w:pPr>
      <w:r>
        <w:rPr>
          <w:rFonts w:ascii="Times New Roman" w:hAnsi="Times New Roman" w:eastAsia="Times New Roman"/>
          <w:b/>
          <w:i w:val="0"/>
          <w:sz w:val="26"/>
        </w:rPr>
        <w:t>B.5. Proposed placement</w:t>
      </w:r>
    </w:p>
    <w:p>
      <w:r>
        <w:rPr>
          <w:rFonts w:ascii="Times New Roman" w:hAnsi="Times New Roman" w:eastAsia="Times New Roman"/>
          <w:b w:val="0"/>
          <w:i w:val="0"/>
          <w:sz w:val="24"/>
        </w:rPr>
        <w:t>Previously discussed implementation starting point:</w:t>
      </w:r>
    </w:p>
    <w:p>
      <w:pPr>
        <w:pStyle w:val="PZCode"/>
        <w:ind w:left="170" w:right="113" w:firstLine="0"/>
        <w:shd w:fill="F2F2F2"/>
      </w:pPr>
      <w:r>
        <w:rPr>
          <w:rFonts w:ascii="Courier New" w:hAnsi="Courier New" w:eastAsia="Courier New"/>
          <w:sz w:val="17"/>
        </w:rPr>
        <w:t>src/</w:t>
        <w:br/>
        <w:t xml:space="preserve">  Perimeter.Gateway.Domain/</w:t>
        <w:br/>
        <w:t xml:space="preserve">    Models/</w:t>
        <w:br/>
        <w:t xml:space="preserve">      Subject.cs</w:t>
        <w:br/>
        <w:t xml:space="preserve">      Actor.cs</w:t>
        <w:br/>
        <w:t xml:space="preserve">      SubjectActorDelegation.cs</w:t>
        <w:br/>
        <w:t xml:space="preserve">      PublishedResource.cs</w:t>
        <w:br/>
        <w:t xml:space="preserve">      EffectiveAccessDecision.cs</w:t>
        <w:br/>
        <w:t xml:space="preserve">  Perimeter.Gateway.Application/</w:t>
        <w:br/>
        <w:t xml:space="preserve">    Authorization/</w:t>
        <w:br/>
        <w:t xml:space="preserve">      AuthorizationPolicyEvaluator.cs</w:t>
        <w:br/>
        <w:t xml:space="preserve">  Perimeter.Gateway.Infrastructure/</w:t>
        <w:br/>
        <w:t xml:space="preserve">    PlatformStore/</w:t>
        <w:br/>
        <w:t xml:space="preserve">    CorporateData/</w:t>
        <w:br/>
        <w:t xml:space="preserve">  Perimeter.Gateway.Api/</w:t>
        <w:br/>
        <w:t>tests/</w:t>
      </w:r>
    </w:p>
    <w:p>
      <w:r>
        <w:rPr>
          <w:rFonts w:ascii="Times New Roman" w:hAnsi="Times New Roman" w:eastAsia="Times New Roman"/>
          <w:b w:val="0"/>
          <w:i w:val="0"/>
          <w:sz w:val="24"/>
        </w:rPr>
        <w:t>The actual solution structure must be checked against the current repository before files are created; the appendix fixes the direction, not permission to create missing projects automatically.</w:t>
      </w:r>
    </w:p>
    <w:p>
      <w:r>
        <w:br w:type="page"/>
      </w:r>
    </w:p>
    <w:p>
      <w:pPr>
        <w:pStyle w:val="PZHeading1"/>
        <w:ind w:firstLine="0"/>
      </w:pPr>
      <w:r>
        <w:rPr>
          <w:rFonts w:ascii="Times New Roman" w:hAnsi="Times New Roman" w:eastAsia="Times New Roman"/>
          <w:b/>
          <w:i w:val="0"/>
          <w:sz w:val="30"/>
        </w:rPr>
        <w:t>Appendix C. Candidate JWT and test issuer contract</w:t>
      </w:r>
    </w:p>
    <w:p>
      <w:r>
        <w:rPr>
          <w:rFonts w:ascii="Times New Roman" w:hAnsi="Times New Roman" w:eastAsia="Times New Roman"/>
          <w:b/>
          <w:i w:val="0"/>
          <w:sz w:val="24"/>
        </w:rPr>
        <w:t>Appendix status: mixed - claim semantics FIXED BY TZ; exact issuer/audience/timestamps DECISION REQUIRED BEFORE ACCEPTANCE.</w:t>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C.1. Successful demo token</w:t>
      </w:r>
    </w:p>
    <w:p>
      <w:pPr>
        <w:pStyle w:val="PZCode"/>
        <w:ind w:left="170" w:right="113" w:firstLine="0"/>
        <w:shd w:fill="F2F2F2"/>
      </w:pPr>
      <w:r>
        <w:rPr>
          <w:rFonts w:ascii="Courier New" w:hAnsi="Courier New" w:eastAsia="Courier New"/>
          <w:sz w:val="17"/>
        </w:rPr>
        <w:t>{</w:t>
        <w:br/>
        <w:t xml:space="preserve">  "iss": "&lt;accepted-demo-issuer&gt;",</w:t>
        <w:br/>
        <w:t xml:space="preserve">  "aud": "&lt;accepted-pdg-audience&gt;",</w:t>
        <w:br/>
        <w:t xml:space="preserve">  "sub": "user_42",</w:t>
        <w:br/>
        <w:t xml:space="preserve">  "act": {</w:t>
        <w:br/>
        <w:t xml:space="preserve">    "sub": "sales_copilot_v1"</w:t>
        <w:br/>
        <w:t xml:space="preserve">  },</w:t>
        <w:br/>
        <w:t xml:space="preserve">  "scope": "sales.read",</w:t>
        <w:br/>
        <w:t xml:space="preserve">  "exp": "&lt;future-expiration&gt;"</w:t>
        <w:br/>
        <w:t>}</w:t>
      </w:r>
    </w:p>
    <w:p>
      <w:r>
        <w:rPr>
          <w:rFonts w:ascii="Times New Roman" w:hAnsi="Times New Roman" w:eastAsia="Times New Roman"/>
          <w:b w:val="0"/>
          <w:i w:val="0"/>
          <w:sz w:val="24"/>
        </w:rPr>
        <w:t>Meaning of fields:</w:t>
      </w:r>
    </w:p>
    <w:tbl>
      <w:tblPr>
        <w:tblStyle w:val="TableGrid"/>
        <w:tblW w:type="auto" w:w="0"/>
        <w:jc w:val="center"/>
        <w:tblLayout w:type="fixed"/>
        <w:tblLook w:firstColumn="1" w:firstRow="1" w:lastColumn="0" w:lastRow="0" w:noHBand="0" w:noVBand="1" w:val="04A0"/>
      </w:tblPr>
      <w:tblGrid>
        <w:gridCol w:w="4819"/>
        <w:gridCol w:w="4819"/>
      </w:tblGrid>
      <w:tr>
        <w:trPr>
          <w:cantSplit/>
          <w:tblHeader w:val="true"/>
        </w:trPr>
        <w:tc>
          <w:tcPr>
            <w:tcW w:type="dxa" w:w="1018"/>
            <w:vAlign w:val="center"/>
            <w:shd w:fill="E7E6E6"/>
          </w:tcPr>
          <w:p>
            <w:pPr>
              <w:spacing w:after="20" w:before="20"/>
              <w:ind w:firstLine="0"/>
              <w:jc w:val="left"/>
            </w:pPr>
            <w:r>
              <w:rPr>
                <w:rFonts w:ascii="Times New Roman" w:hAnsi="Times New Roman" w:eastAsia="Times New Roman"/>
                <w:b/>
                <w:i w:val="0"/>
                <w:sz w:val="18"/>
              </w:rPr>
              <w:t>Claim</w:t>
            </w:r>
          </w:p>
        </w:tc>
        <w:tc>
          <w:tcPr>
            <w:tcW w:type="dxa" w:w="8618"/>
            <w:vAlign w:val="center"/>
            <w:shd w:fill="E7E6E6"/>
          </w:tcPr>
          <w:p>
            <w:pPr>
              <w:spacing w:after="20" w:before="20"/>
              <w:ind w:firstLine="0"/>
              <w:jc w:val="left"/>
            </w:pPr>
            <w:r>
              <w:rPr>
                <w:rFonts w:ascii="Times New Roman" w:hAnsi="Times New Roman" w:eastAsia="Times New Roman"/>
                <w:b/>
                <w:i w:val="0"/>
                <w:sz w:val="18"/>
              </w:rPr>
              <w:t>Meaning</w:t>
            </w:r>
          </w:p>
        </w:tc>
      </w:tr>
      <w:tr>
        <w:trPr>
          <w:cantSplit/>
        </w:trPr>
        <w:tc>
          <w:tcPr>
            <w:tcW w:type="dxa" w:w="1018"/>
            <w:vAlign w:val="center"/>
          </w:tcPr>
          <w:p>
            <w:pPr>
              <w:spacing w:after="20" w:before="20"/>
              <w:ind w:firstLine="0"/>
              <w:jc w:val="left"/>
            </w:pPr>
            <w:r>
              <w:rPr>
                <w:rFonts w:ascii="Courier New" w:hAnsi="Courier New" w:eastAsia="Courier New"/>
                <w:b w:val="0"/>
                <w:i w:val="0"/>
                <w:sz w:val="17"/>
              </w:rPr>
              <w:t>iss</w:t>
            </w:r>
          </w:p>
        </w:tc>
        <w:tc>
          <w:tcPr>
            <w:tcW w:type="dxa" w:w="8618"/>
            <w:vAlign w:val="center"/>
          </w:tcPr>
          <w:p>
            <w:pPr>
              <w:spacing w:after="20" w:before="20"/>
              <w:ind w:firstLine="0"/>
              <w:jc w:val="left"/>
            </w:pPr>
            <w:r>
              <w:rPr>
                <w:rFonts w:ascii="Times New Roman" w:hAnsi="Times New Roman" w:eastAsia="Times New Roman"/>
                <w:b w:val="0"/>
                <w:i w:val="0"/>
                <w:sz w:val="18"/>
              </w:rPr>
              <w:t>trusted demo issuer; value is fixed by environment configuration</w:t>
            </w:r>
          </w:p>
        </w:tc>
      </w:tr>
      <w:tr>
        <w:trPr>
          <w:cantSplit/>
        </w:trPr>
        <w:tc>
          <w:tcPr>
            <w:tcW w:type="dxa" w:w="1018"/>
            <w:vAlign w:val="center"/>
          </w:tcPr>
          <w:p>
            <w:pPr>
              <w:spacing w:after="20" w:before="20"/>
              <w:ind w:firstLine="0"/>
              <w:jc w:val="left"/>
            </w:pPr>
            <w:r>
              <w:rPr>
                <w:rFonts w:ascii="Courier New" w:hAnsi="Courier New" w:eastAsia="Courier New"/>
                <w:b w:val="0"/>
                <w:i w:val="0"/>
                <w:sz w:val="17"/>
              </w:rPr>
              <w:t>aud</w:t>
            </w:r>
          </w:p>
        </w:tc>
        <w:tc>
          <w:tcPr>
            <w:tcW w:type="dxa" w:w="8618"/>
            <w:vAlign w:val="center"/>
          </w:tcPr>
          <w:p>
            <w:pPr>
              <w:spacing w:after="20" w:before="20"/>
              <w:ind w:firstLine="0"/>
              <w:jc w:val="left"/>
            </w:pPr>
            <w:r>
              <w:rPr>
                <w:rFonts w:ascii="Times New Roman" w:hAnsi="Times New Roman" w:eastAsia="Times New Roman"/>
                <w:b w:val="0"/>
                <w:i w:val="0"/>
                <w:sz w:val="18"/>
              </w:rPr>
              <w:t>PDG audience; value is fixed by environment configuration</w:t>
            </w:r>
          </w:p>
        </w:tc>
      </w:tr>
      <w:tr>
        <w:trPr>
          <w:cantSplit/>
        </w:trPr>
        <w:tc>
          <w:tcPr>
            <w:tcW w:type="dxa" w:w="1018"/>
            <w:vAlign w:val="center"/>
          </w:tcPr>
          <w:p>
            <w:pPr>
              <w:spacing w:after="20" w:before="20"/>
              <w:ind w:firstLine="0"/>
              <w:jc w:val="left"/>
            </w:pPr>
            <w:r>
              <w:rPr>
                <w:rFonts w:ascii="Courier New" w:hAnsi="Courier New" w:eastAsia="Courier New"/>
                <w:b w:val="0"/>
                <w:i w:val="0"/>
                <w:sz w:val="17"/>
              </w:rPr>
              <w:t>sub</w:t>
            </w:r>
          </w:p>
        </w:tc>
        <w:tc>
          <w:tcPr>
            <w:tcW w:type="dxa" w:w="8618"/>
            <w:vAlign w:val="center"/>
          </w:tcPr>
          <w:p>
            <w:pPr>
              <w:spacing w:after="20" w:before="20"/>
              <w:ind w:firstLine="0"/>
              <w:jc w:val="left"/>
            </w:pPr>
            <w:r>
              <w:rPr>
                <w:rFonts w:ascii="Times New Roman" w:hAnsi="Times New Roman" w:eastAsia="Times New Roman"/>
                <w:b w:val="0"/>
                <w:i w:val="0"/>
                <w:sz w:val="18"/>
              </w:rPr>
              <w:t>Subject identity</w:t>
            </w:r>
          </w:p>
        </w:tc>
      </w:tr>
      <w:tr>
        <w:trPr>
          <w:cantSplit/>
        </w:trPr>
        <w:tc>
          <w:tcPr>
            <w:tcW w:type="dxa" w:w="1018"/>
            <w:vAlign w:val="center"/>
          </w:tcPr>
          <w:p>
            <w:pPr>
              <w:spacing w:after="20" w:before="20"/>
              <w:ind w:firstLine="0"/>
              <w:jc w:val="left"/>
            </w:pPr>
            <w:r>
              <w:rPr>
                <w:rFonts w:ascii="Courier New" w:hAnsi="Courier New" w:eastAsia="Courier New"/>
                <w:b w:val="0"/>
                <w:i w:val="0"/>
                <w:sz w:val="17"/>
              </w:rPr>
              <w:t>act.sub</w:t>
            </w:r>
          </w:p>
        </w:tc>
        <w:tc>
          <w:tcPr>
            <w:tcW w:type="dxa" w:w="8618"/>
            <w:vAlign w:val="center"/>
          </w:tcPr>
          <w:p>
            <w:pPr>
              <w:spacing w:after="20" w:before="20"/>
              <w:ind w:firstLine="0"/>
              <w:jc w:val="left"/>
            </w:pPr>
            <w:r>
              <w:rPr>
                <w:rFonts w:ascii="Times New Roman" w:hAnsi="Times New Roman" w:eastAsia="Times New Roman"/>
                <w:b w:val="0"/>
                <w:i w:val="0"/>
                <w:sz w:val="18"/>
              </w:rPr>
              <w:t>Actor identity</w:t>
            </w:r>
          </w:p>
        </w:tc>
      </w:tr>
      <w:tr>
        <w:trPr>
          <w:cantSplit/>
        </w:trPr>
        <w:tc>
          <w:tcPr>
            <w:tcW w:type="dxa" w:w="1018"/>
            <w:vAlign w:val="center"/>
          </w:tcPr>
          <w:p>
            <w:pPr>
              <w:spacing w:after="20" w:before="20"/>
              <w:ind w:firstLine="0"/>
              <w:jc w:val="left"/>
            </w:pPr>
            <w:r>
              <w:rPr>
                <w:rFonts w:ascii="Courier New" w:hAnsi="Courier New" w:eastAsia="Courier New"/>
                <w:b w:val="0"/>
                <w:i w:val="0"/>
                <w:sz w:val="17"/>
              </w:rPr>
              <w:t>scope</w:t>
            </w:r>
          </w:p>
        </w:tc>
        <w:tc>
          <w:tcPr>
            <w:tcW w:type="dxa" w:w="8618"/>
            <w:vAlign w:val="center"/>
          </w:tcPr>
          <w:p>
            <w:pPr>
              <w:spacing w:after="20" w:before="20"/>
              <w:ind w:firstLine="0"/>
              <w:jc w:val="left"/>
            </w:pPr>
            <w:r>
              <w:rPr>
                <w:rFonts w:ascii="Times New Roman" w:hAnsi="Times New Roman" w:eastAsia="Times New Roman"/>
                <w:b w:val="0"/>
                <w:i w:val="0"/>
                <w:sz w:val="18"/>
              </w:rPr>
              <w:t>capability Actor</w:t>
            </w:r>
          </w:p>
        </w:tc>
      </w:tr>
      <w:tr>
        <w:trPr>
          <w:cantSplit/>
        </w:trPr>
        <w:tc>
          <w:tcPr>
            <w:tcW w:type="dxa" w:w="1018"/>
            <w:vAlign w:val="center"/>
          </w:tcPr>
          <w:p>
            <w:pPr>
              <w:spacing w:after="20" w:before="20"/>
              <w:ind w:firstLine="0"/>
              <w:jc w:val="left"/>
            </w:pPr>
            <w:r>
              <w:rPr>
                <w:rFonts w:ascii="Courier New" w:hAnsi="Courier New" w:eastAsia="Courier New"/>
                <w:b w:val="0"/>
                <w:i w:val="0"/>
                <w:sz w:val="17"/>
              </w:rPr>
              <w:t>exp</w:t>
            </w:r>
          </w:p>
        </w:tc>
        <w:tc>
          <w:tcPr>
            <w:tcW w:type="dxa" w:w="8618"/>
            <w:vAlign w:val="center"/>
          </w:tcPr>
          <w:p>
            <w:pPr>
              <w:spacing w:after="20" w:before="20"/>
              <w:ind w:firstLine="0"/>
              <w:jc w:val="left"/>
            </w:pPr>
            <w:r>
              <w:rPr>
                <w:rFonts w:ascii="Times New Roman" w:hAnsi="Times New Roman" w:eastAsia="Times New Roman"/>
                <w:b w:val="0"/>
                <w:i w:val="0"/>
                <w:sz w:val="18"/>
              </w:rPr>
              <w:t>mandatory expiration validation</w:t>
            </w:r>
          </w:p>
        </w:tc>
      </w:tr>
    </w:tbl>
    <w:p>
      <w:pPr>
        <w:spacing w:after="20"/>
        <w:ind w:firstLine="0"/>
      </w:pPr>
    </w:p>
    <w:p>
      <w:r>
        <w:rPr>
          <w:rFonts w:ascii="Times New Roman" w:hAnsi="Times New Roman" w:eastAsia="Times New Roman"/>
          <w:b w:val="0"/>
          <w:i w:val="0"/>
          <w:sz w:val="24"/>
        </w:rPr>
        <w:t>Early variants used pdg-test-issuer, pdg-gateway, https://pdg.local/test-issuer, pdg-api, https://demo-pdg-issuer.local, and perimeter-data-gateway. None of these pairs should win by accident. One consistent configuration is selected before acceptance.</w:t>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C.2. T-11 - missing act.sub</w:t>
      </w:r>
      <w:r>
        <w:rPr>
          <w:rFonts w:ascii="Courier New" w:hAnsi="Courier New" w:eastAsia="Courier New"/>
          <w:b/>
          <w:i w:val="0"/>
          <w:sz w:val="25"/>
        </w:rPr>
      </w:r>
    </w:p>
    <w:p>
      <w:pPr>
        <w:pStyle w:val="PZCode"/>
        <w:ind w:left="170" w:right="113" w:firstLine="0"/>
        <w:shd w:fill="F2F2F2"/>
      </w:pPr>
      <w:r>
        <w:rPr>
          <w:rFonts w:ascii="Courier New" w:hAnsi="Courier New" w:eastAsia="Courier New"/>
          <w:sz w:val="17"/>
        </w:rPr>
        <w:t>{</w:t>
        <w:br/>
        <w:t xml:space="preserve">  "iss": "&lt;accepted-demo-issuer&gt;",</w:t>
        <w:br/>
        <w:t xml:space="preserve">  "aud": "&lt;accepted-pdg-audience&gt;",</w:t>
        <w:br/>
        <w:t xml:space="preserve">  "sub": "user_42",</w:t>
        <w:br/>
        <w:t xml:space="preserve">  "scope": "sales.read",</w:t>
        <w:br/>
        <w:t xml:space="preserve">  "exp": "&lt;future-expiration&gt;"</w:t>
        <w:br/>
        <w:t>}</w:t>
      </w:r>
    </w:p>
    <w:p>
      <w:r>
        <w:rPr>
          <w:rFonts w:ascii="Times New Roman" w:hAnsi="Times New Roman" w:eastAsia="Times New Roman"/>
          <w:b w:val="0"/>
          <w:i w:val="0"/>
          <w:sz w:val="24"/>
        </w:rPr>
        <w:t>Expected:</w:t>
      </w:r>
    </w:p>
    <w:p>
      <w:pPr>
        <w:pStyle w:val="PZCode"/>
        <w:ind w:left="170" w:right="113" w:firstLine="0"/>
        <w:shd w:fill="F2F2F2"/>
      </w:pPr>
      <w:r>
        <w:rPr>
          <w:rFonts w:ascii="Courier New" w:hAnsi="Courier New" w:eastAsia="Courier New"/>
          <w:sz w:val="17"/>
        </w:rPr>
        <w:t>401 / authentication_failed</w:t>
      </w:r>
    </w:p>
    <w:p>
      <w:r>
        <w:rPr>
          <w:rFonts w:ascii="Times New Roman" w:hAnsi="Times New Roman" w:eastAsia="Times New Roman"/>
          <w:b w:val="0"/>
          <w:i w:val="0"/>
          <w:sz w:val="24"/>
        </w:rPr>
        <w:t>Subject-only fallback is prohibited.</w:t>
      </w:r>
    </w:p>
    <w:p>
      <w:pPr>
        <w:pStyle w:val="PZHeading2"/>
        <w:ind w:firstLine="0"/>
      </w:pPr>
      <w:r>
        <w:rPr>
          <w:rFonts w:ascii="Times New Roman" w:hAnsi="Times New Roman" w:eastAsia="Times New Roman"/>
          <w:b/>
          <w:i w:val="0"/>
          <w:sz w:val="26"/>
        </w:rPr>
        <w:t>C.3. T-13 - capability absent</w:t>
      </w:r>
    </w:p>
    <w:p>
      <w:pPr>
        <w:pStyle w:val="PZCode"/>
        <w:ind w:left="170" w:right="113" w:firstLine="0"/>
        <w:shd w:fill="F2F2F2"/>
      </w:pPr>
      <w:r>
        <w:rPr>
          <w:rFonts w:ascii="Courier New" w:hAnsi="Courier New" w:eastAsia="Courier New"/>
          <w:sz w:val="17"/>
        </w:rPr>
        <w:t>{</w:t>
        <w:br/>
        <w:t xml:space="preserve">  "iss": "&lt;accepted-demo-issuer&gt;",</w:t>
        <w:br/>
        <w:t xml:space="preserve">  "aud": "&lt;accepted-pdg-audience&gt;",</w:t>
        <w:br/>
        <w:t xml:space="preserve">  "sub": "user_42",</w:t>
        <w:br/>
        <w:t xml:space="preserve">  "act": {</w:t>
        <w:br/>
        <w:t xml:space="preserve">    "sub": "sales_copilot_v1"</w:t>
        <w:br/>
        <w:t xml:space="preserve">  },</w:t>
        <w:br/>
        <w:t xml:space="preserve">  "scope": "&lt;without-sales.read&gt;",</w:t>
        <w:br/>
        <w:t xml:space="preserve">  "exp": "&lt;future-expiration&gt;"</w:t>
        <w:br/>
        <w:t>}</w:t>
      </w:r>
    </w:p>
    <w:p>
      <w:r>
        <w:rPr>
          <w:rFonts w:ascii="Times New Roman" w:hAnsi="Times New Roman" w:eastAsia="Times New Roman"/>
          <w:b w:val="0"/>
          <w:i w:val="0"/>
          <w:sz w:val="24"/>
        </w:rPr>
        <w:t>Expected:</w:t>
      </w:r>
    </w:p>
    <w:p>
      <w:pPr>
        <w:pStyle w:val="PZCode"/>
        <w:ind w:left="170" w:right="113" w:firstLine="0"/>
        <w:shd w:fill="F2F2F2"/>
      </w:pPr>
      <w:r>
        <w:rPr>
          <w:rFonts w:ascii="Courier New" w:hAnsi="Courier New" w:eastAsia="Courier New"/>
          <w:sz w:val="17"/>
        </w:rPr>
        <w:t>403 / access_denied</w:t>
      </w:r>
    </w:p>
    <w:p>
      <w:pPr>
        <w:pStyle w:val="PZHeading2"/>
        <w:ind w:firstLine="0"/>
      </w:pPr>
      <w:r>
        <w:rPr>
          <w:rFonts w:ascii="Times New Roman" w:hAnsi="Times New Roman" w:eastAsia="Times New Roman"/>
          <w:b/>
          <w:i w:val="0"/>
          <w:sz w:val="26"/>
        </w:rPr>
        <w:t>C.4. Separation of token and Platform Store</w:t>
      </w:r>
    </w:p>
    <w:p>
      <w:r>
        <w:rPr>
          <w:rFonts w:ascii="Times New Roman" w:hAnsi="Times New Roman" w:eastAsia="Times New Roman"/>
          <w:b w:val="0"/>
          <w:i w:val="0"/>
          <w:sz w:val="24"/>
        </w:rPr>
        <w:t>JWT does not replace the Platform Store. Even a correct scope = sales.read does not prove:</w:t>
      </w:r>
      <w:r>
        <w:rPr>
          <w:rFonts w:ascii="Courier New" w:hAnsi="Courier New" w:eastAsia="Courier New"/>
          <w:b w:val="0"/>
          <w:i w:val="0"/>
          <w:sz w:val="23"/>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that Actor policy limits permit it;</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that Subject-Actor delegation exists;</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the Subject permissions;</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the permitted row scope;</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the Published Resource constraints.</w:t>
      </w:r>
      <w:r>
        <w:rPr>
          <w:rFonts w:ascii="Times New Roman" w:hAnsi="Times New Roman" w:eastAsia="Times New Roman"/>
          <w:b w:val="0"/>
          <w:i w:val="0"/>
          <w:sz w:val="24"/>
        </w:rPr>
      </w:r>
    </w:p>
    <w:p>
      <w:r>
        <w:rPr>
          <w:rFonts w:ascii="Times New Roman" w:hAnsi="Times New Roman" w:eastAsia="Times New Roman"/>
          <w:b w:val="0"/>
          <w:i w:val="0"/>
          <w:sz w:val="24"/>
        </w:rPr>
        <w:t>That is why Effective Access cannot be computed from claims alone.</w:t>
      </w:r>
    </w:p>
    <w:p>
      <w:r>
        <w:br w:type="page"/>
      </w:r>
    </w:p>
    <w:p>
      <w:pPr>
        <w:pStyle w:val="PZHeading1"/>
        <w:ind w:firstLine="0"/>
      </w:pPr>
      <w:r>
        <w:rPr>
          <w:rFonts w:ascii="Times New Roman" w:hAnsi="Times New Roman" w:eastAsia="Times New Roman"/>
          <w:b/>
          <w:i w:val="0"/>
          <w:sz w:val="30"/>
        </w:rPr>
        <w:t>Appendix D. Candidate Platform Store schema</w:t>
      </w:r>
    </w:p>
    <w:p>
      <w:r>
        <w:rPr>
          <w:rFonts w:ascii="Times New Roman" w:hAnsi="Times New Roman" w:eastAsia="Times New Roman"/>
          <w:b/>
          <w:i w:val="0"/>
          <w:sz w:val="24"/>
        </w:rPr>
        <w:t>Appendix status: CANDIDATE IMPLEMENTATION.</w:t>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p>
    <w:p>
      <w:r>
        <w:rPr>
          <w:rFonts w:ascii="Times New Roman" w:hAnsi="Times New Roman" w:eastAsia="Times New Roman"/>
          <w:b w:val="0"/>
          <w:i w:val="0"/>
          <w:sz w:val="24"/>
        </w:rPr>
        <w:t>The minimal PostgreSQL DDL proposed during Preliminary Design is preserved below. It is useful as a starting point, but before an implementation migration it must be checked for completeness against the Technical Requirements.</w:t>
      </w:r>
    </w:p>
    <w:p>
      <w:pPr>
        <w:pStyle w:val="PZCode"/>
        <w:ind w:left="170" w:right="113" w:firstLine="0"/>
        <w:shd w:fill="F2F2F2"/>
      </w:pPr>
      <w:r>
        <w:rPr>
          <w:rFonts w:ascii="Courier New" w:hAnsi="Courier New" w:eastAsia="Courier New"/>
          <w:sz w:val="17"/>
        </w:rPr>
        <w:t>CREATE TABLE subject (</w:t>
        <w:br/>
        <w:t xml:space="preserve">    subject_id    TEXT PRIMARY KEY,</w:t>
        <w:br/>
        <w:t xml:space="preserve">    display_name  TEXT NOT NULL,</w:t>
        <w:br/>
        <w:t xml:space="preserve">    roles         TEXT[] NOT NULL</w:t>
        <w:br/>
        <w:t>);</w:t>
        <w:br/>
        <w:br/>
        <w:t>CREATE TABLE actor (</w:t>
        <w:br/>
        <w:t xml:space="preserve">    actor_id              TEXT PRIMARY KEY,</w:t>
        <w:br/>
        <w:t xml:space="preserve">    actor_type            TEXT NOT NULL,</w:t>
        <w:br/>
        <w:t xml:space="preserve">    allowed_capabilities  TEXT[] NOT NULL</w:t>
        <w:br/>
        <w:t>);</w:t>
        <w:br/>
        <w:br/>
        <w:t>CREATE TABLE delegation (</w:t>
        <w:br/>
        <w:t xml:space="preserve">    subject_id  TEXT NOT NULL REFERENCES subject(subject_id),</w:t>
        <w:br/>
        <w:t xml:space="preserve">    actor_id    TEXT NOT NULL REFERENCES actor(actor_id),</w:t>
        <w:br/>
        <w:t xml:space="preserve">    granted_at  TIMESTAMPTZ NOT NULL,</w:t>
        <w:br/>
        <w:t xml:space="preserve">    expires_at  TIMESTAMPTZ,</w:t>
        <w:br/>
        <w:t xml:space="preserve">    is_active   BOOLEAN NOT NULL,</w:t>
        <w:br/>
        <w:t xml:space="preserve">    PRIMARY KEY (subject_id, actor_id)</w:t>
        <w:br/>
        <w:t>);</w:t>
        <w:br/>
        <w:br/>
        <w:t>CREATE TABLE resource (</w:t>
        <w:br/>
        <w:t xml:space="preserve">    resource_name        TEXT PRIMARY KEY,</w:t>
        <w:br/>
        <w:t xml:space="preserve">    required_capability  TEXT NOT NULL,</w:t>
        <w:br/>
        <w:t xml:space="preserve">    max_rows             INTEGER NOT NULL</w:t>
        <w:br/>
        <w:t>);</w:t>
        <w:br/>
        <w:br/>
        <w:t>CREATE TABLE resource_parameter (</w:t>
        <w:br/>
        <w:t xml:space="preserve">    resource_name  TEXT NOT NULL REFERENCES resource(resource_name),</w:t>
        <w:br/>
        <w:t xml:space="preserve">    param_name     TEXT NOT NULL,</w:t>
        <w:br/>
        <w:t xml:space="preserve">    param_type     TEXT NOT NULL,</w:t>
        <w:br/>
        <w:t xml:space="preserve">    required       BOOLEAN NOT NULL,</w:t>
        <w:br/>
        <w:t xml:space="preserve">    PRIMARY KEY (resource_name, param_name)</w:t>
        <w:br/>
        <w:t>);</w:t>
        <w:br/>
        <w:br/>
        <w:t>CREATE TABLE audit_record (</w:t>
        <w:br/>
        <w:t xml:space="preserve">    audit_id         BIGSERIAL PRIMARY KEY,</w:t>
        <w:br/>
        <w:t xml:space="preserve">    occurred_at      TIMESTAMPTZ NOT NULL,</w:t>
        <w:br/>
        <w:t xml:space="preserve">    subject_id       TEXT NOT NULL,</w:t>
        <w:br/>
        <w:t xml:space="preserve">    actor_id         TEXT NOT NULL,</w:t>
        <w:br/>
        <w:t xml:space="preserve">    capability       TEXT NOT NULL,</w:t>
        <w:br/>
        <w:t xml:space="preserve">    resource_name    TEXT NOT NULL,</w:t>
        <w:br/>
        <w:t xml:space="preserve">    requested_scope  JSONB,</w:t>
        <w:br/>
        <w:t xml:space="preserve">    effective_scope  JSONB,</w:t>
        <w:br/>
        <w:t xml:space="preserve">    decision         TEXT NOT NULL,</w:t>
        <w:br/>
        <w:t xml:space="preserve">    reason_category  TEXT NOT NULL,</w:t>
        <w:br/>
        <w:t xml:space="preserve">    rows_returned    INTEGER NOT NULL DEFAULT 0</w:t>
        <w:br/>
        <w:t>);</w:t>
      </w:r>
    </w:p>
    <w:p>
      <w:pPr>
        <w:pStyle w:val="PZHeading2"/>
        <w:ind w:firstLine="0"/>
      </w:pPr>
      <w:r>
        <w:rPr>
          <w:rFonts w:ascii="Times New Roman" w:hAnsi="Times New Roman" w:eastAsia="Times New Roman"/>
          <w:b/>
          <w:i w:val="0"/>
          <w:sz w:val="26"/>
        </w:rPr>
        <w:t>D.1. What is already useful in this DDL</w:t>
      </w:r>
    </w:p>
    <w:p>
      <w:pPr>
        <w:pStyle w:val="PZList"/>
        <w:ind w:left="454" w:hanging="283"/>
      </w:pPr>
      <w:r>
        <w:rPr>
          <w:rFonts w:ascii="Times New Roman" w:hAnsi="Times New Roman" w:eastAsia="Times New Roman"/>
          <w:sz w:val="24"/>
        </w:rPr>
        <w:t>• separate subject and actor;</w:t>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composite delegation key (subject_id, actor_id);</w:t>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separate Actor capability policy;</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Published Resource and parameter allow-list;</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server-side result limit as configuration state;</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audit without raw prompt/token/credentials;</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normalized scopes/parameters permit post-factum analysis.</w:t>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D.2. What must be clarified before migration</w:t>
      </w:r>
    </w:p>
    <w:p>
      <w:r>
        <w:rPr>
          <w:rFonts w:ascii="Times New Roman" w:hAnsi="Times New Roman" w:eastAsia="Times New Roman"/>
          <w:b w:val="0"/>
          <w:i w:val="0"/>
          <w:sz w:val="24"/>
        </w:rPr>
        <w:t>The candidate schema above is not complete. Before implementation, the following must be explicitly decided:</w:t>
      </w:r>
      <w:r>
        <w:rPr>
          <w:rFonts w:ascii="Times New Roman" w:hAnsi="Times New Roman" w:eastAsia="Times New Roman"/>
          <w:b/>
          <w:i w:val="0"/>
          <w:sz w:val="24"/>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1. how Subject permissions on a resource are represented;</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2. how per-Subject row scope is represented;</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3. whether roles TEXT[] is needed or permissions should be normalized separately;</w:t>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4. how the fixed output contract of a Published Resource is stored;</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5. how append-only application audit semantics are guaranteed;</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6. which constraints/CHECKs apply to decision, rows_returned, and max_rows;</w:t>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7. how bootstrap updates configuration idempotently;</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8. how deployment configuration and persistent policy state are separated.</w:t>
      </w:r>
      <w:r>
        <w:rPr>
          <w:rFonts w:ascii="Times New Roman" w:hAnsi="Times New Roman" w:eastAsia="Times New Roman"/>
          <w:b w:val="0"/>
          <w:i w:val="0"/>
          <w:sz w:val="24"/>
        </w:rPr>
      </w:r>
    </w:p>
    <w:p>
      <w:r>
        <w:rPr>
          <w:rFonts w:ascii="Times New Roman" w:hAnsi="Times New Roman" w:eastAsia="Times New Roman"/>
          <w:b w:val="0"/>
          <w:i w:val="0"/>
          <w:sz w:val="24"/>
        </w:rPr>
        <w:t>These questions must not be solved again "from thin air": the candidate DDL above and the Technical Requirements are the starting point.</w:t>
      </w:r>
    </w:p>
    <w:p>
      <w:r>
        <w:br w:type="page"/>
      </w:r>
    </w:p>
    <w:p>
      <w:pPr>
        <w:pStyle w:val="PZHeading1"/>
        <w:ind w:firstLine="0"/>
      </w:pPr>
      <w:r>
        <w:rPr>
          <w:rFonts w:ascii="Times New Roman" w:hAnsi="Times New Roman" w:eastAsia="Times New Roman"/>
          <w:b/>
          <w:i w:val="0"/>
          <w:sz w:val="30"/>
        </w:rPr>
        <w:t>Appendix E. Candidate implementation of the Corporate Data Source boundary</w:t>
      </w:r>
    </w:p>
    <w:p>
      <w:r>
        <w:rPr>
          <w:rFonts w:ascii="Times New Roman" w:hAnsi="Times New Roman" w:eastAsia="Times New Roman"/>
          <w:b/>
          <w:i w:val="0"/>
          <w:sz w:val="24"/>
        </w:rPr>
        <w:t>Appendix status: restricted representation and least privilege - FIXED BY TZ; exact SQL - CANDIDATE IMPLEMENTATION; Country mapping - DECISION REQUIRED BEFORE ACCEPTANCE.</w:t>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E.1. Two considered mappings for Country</w:t>
      </w:r>
      <w:r>
        <w:rPr>
          <w:rFonts w:ascii="Courier New" w:hAnsi="Courier New" w:eastAsia="Courier New"/>
          <w:b/>
          <w:i w:val="0"/>
          <w:sz w:val="25"/>
        </w:rPr>
      </w:r>
    </w:p>
    <w:p>
      <w:pPr>
        <w:pStyle w:val="PZHeading3"/>
        <w:ind w:firstLine="0"/>
      </w:pPr>
      <w:r>
        <w:rPr>
          <w:rFonts w:ascii="Times New Roman" w:hAnsi="Times New Roman" w:eastAsia="Times New Roman"/>
          <w:b/>
          <w:i w:val="0"/>
          <w:sz w:val="24"/>
        </w:rPr>
        <w:t>Option 1 - customer country</w:t>
      </w:r>
    </w:p>
    <w:p>
      <w:pPr>
        <w:pStyle w:val="PZCode"/>
        <w:ind w:left="170" w:right="113" w:firstLine="0"/>
        <w:shd w:fill="F2F2F2"/>
      </w:pPr>
      <w:r>
        <w:rPr>
          <w:rFonts w:ascii="Courier New" w:hAnsi="Courier New" w:eastAsia="Courier New"/>
          <w:sz w:val="17"/>
        </w:rPr>
        <w:t>CREATE OR REPLACE VIEW public.vw_sales_summary AS</w:t>
        <w:br/>
        <w:t>SELECT</w:t>
        <w:br/>
        <w:t xml:space="preserve">    c."CustomerId",</w:t>
        <w:br/>
        <w:t xml:space="preserve">    c."Country" AS "Country",</w:t>
        <w:br/>
        <w:t xml:space="preserve">    i."InvoiceDate",</w:t>
        <w:br/>
        <w:t xml:space="preserve">    i."Total"</w:t>
        <w:br/>
        <w:t>FROM public."Customer" c</w:t>
        <w:br/>
        <w:t>JOIN public."Invoice" i</w:t>
        <w:br/>
        <w:t xml:space="preserve">  ON i."CustomerId" = c."CustomerId";</w:t>
      </w:r>
    </w:p>
    <w:p>
      <w:r>
        <w:rPr>
          <w:rFonts w:ascii="Times New Roman" w:hAnsi="Times New Roman" w:eastAsia="Times New Roman"/>
          <w:b w:val="0"/>
          <w:i w:val="0"/>
          <w:sz w:val="24"/>
        </w:rPr>
        <w:t>Semantics: "sales to customers by customer-profile country."</w:t>
      </w:r>
    </w:p>
    <w:p>
      <w:pPr>
        <w:pStyle w:val="PZHeading3"/>
        <w:ind w:firstLine="0"/>
      </w:pPr>
      <w:r>
        <w:rPr>
          <w:rFonts w:ascii="Times New Roman" w:hAnsi="Times New Roman" w:eastAsia="Times New Roman"/>
          <w:b/>
          <w:i w:val="0"/>
          <w:sz w:val="24"/>
        </w:rPr>
        <w:t>Option 2 - invoice billing country</w:t>
      </w:r>
    </w:p>
    <w:p>
      <w:pPr>
        <w:pStyle w:val="PZCode"/>
        <w:ind w:left="170" w:right="113" w:firstLine="0"/>
        <w:shd w:fill="F2F2F2"/>
      </w:pPr>
      <w:r>
        <w:rPr>
          <w:rFonts w:ascii="Courier New" w:hAnsi="Courier New" w:eastAsia="Courier New"/>
          <w:sz w:val="17"/>
        </w:rPr>
        <w:t>CREATE OR REPLACE VIEW public.vw_sales_summary AS</w:t>
        <w:br/>
        <w:t>SELECT</w:t>
        <w:br/>
        <w:t xml:space="preserve">    c."CustomerId",</w:t>
        <w:br/>
        <w:t xml:space="preserve">    i."BillingCountry" AS "Country",</w:t>
        <w:br/>
        <w:t xml:space="preserve">    i."InvoiceDate",</w:t>
        <w:br/>
        <w:t xml:space="preserve">    i."Total"</w:t>
        <w:br/>
        <w:t>FROM public."Customer" c</w:t>
        <w:br/>
        <w:t>JOIN public."Invoice" i</w:t>
        <w:br/>
        <w:t xml:space="preserve">  ON i."CustomerId" = c."CustomerId";</w:t>
      </w:r>
    </w:p>
    <w:p>
      <w:r>
        <w:rPr>
          <w:rFonts w:ascii="Times New Roman" w:hAnsi="Times New Roman" w:eastAsia="Times New Roman"/>
          <w:b w:val="0"/>
          <w:i w:val="0"/>
          <w:sz w:val="24"/>
        </w:rPr>
        <w:t>Semantics: "sales by country of the specific invoice/billing context."</w:t>
      </w:r>
    </w:p>
    <w:p>
      <w:r>
        <w:rPr>
          <w:rFonts w:ascii="Times New Roman" w:hAnsi="Times New Roman" w:eastAsia="Times New Roman"/>
          <w:b/>
          <w:i w:val="0"/>
          <w:sz w:val="24"/>
        </w:rPr>
        <w:t>The decision is not made by the SQL fragment itself. Before implementation mapping, the business meaning of SalesSummary.Country is fixed first; then one option is selected and covered by tests. The Actor continues to see only Country.</w:t>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pStyle w:val="PZHeading2"/>
        <w:ind w:firstLine="0"/>
      </w:pPr>
      <w:r>
        <w:rPr>
          <w:rFonts w:ascii="Times New Roman" w:hAnsi="Times New Roman" w:eastAsia="Times New Roman"/>
          <w:b/>
          <w:i w:val="0"/>
          <w:sz w:val="26"/>
        </w:rPr>
        <w:t>E.2. Candidate role/grant bootstrap</w:t>
      </w:r>
    </w:p>
    <w:p>
      <w:r>
        <w:rPr>
          <w:rFonts w:ascii="Times New Roman" w:hAnsi="Times New Roman" w:eastAsia="Times New Roman"/>
          <w:b w:val="0"/>
          <w:i w:val="0"/>
          <w:sz w:val="24"/>
        </w:rPr>
        <w:t>Minimum meaning proposed earlier:</w:t>
      </w:r>
    </w:p>
    <w:p>
      <w:pPr>
        <w:pStyle w:val="PZCode"/>
        <w:ind w:left="170" w:right="113" w:firstLine="0"/>
        <w:shd w:fill="F2F2F2"/>
      </w:pPr>
      <w:r>
        <w:rPr>
          <w:rFonts w:ascii="Courier New" w:hAnsi="Courier New" w:eastAsia="Courier New"/>
          <w:sz w:val="17"/>
        </w:rPr>
        <w:t>-- role name is a candidate</w:t>
        <w:br/>
        <w:t>CREATE ROLE pdg_runtime_role LOGIN;</w:t>
        <w:br/>
        <w:br/>
        <w:t>-- VIEW name is a candidate</w:t>
        <w:br/>
        <w:t>GRANT USAGE ON SCHEMA public TO pdg_runtime_role;</w:t>
        <w:br/>
        <w:t>GRANT SELECT ON public.vw_sales_summary TO pdg_runtime_role;</w:t>
        <w:br/>
        <w:br/>
        <w:t>REVOKE ALL ON public."Customer" FROM pdg_runtime_role;</w:t>
        <w:br/>
        <w:t>REVOKE ALL ON public."Invoice" FROM pdg_runtime_role;</w:t>
        <w:br/>
        <w:t>REVOKE ALL ON public."InvoiceLine" FROM pdg_runtime_role;</w:t>
      </w:r>
    </w:p>
    <w:p>
      <w:r>
        <w:rPr>
          <w:rFonts w:ascii="Times New Roman" w:hAnsi="Times New Roman" w:eastAsia="Times New Roman"/>
          <w:b w:val="0"/>
          <w:i w:val="0"/>
          <w:sz w:val="24"/>
        </w:rPr>
        <w:t>This fragment is not proof of the security invariant by itself. After bootstrap, the resulting state must actually be verified:</w:t>
      </w:r>
      <w:r>
        <w:rPr>
          <w:rFonts w:ascii="Times New Roman" w:hAnsi="Times New Roman" w:eastAsia="Times New Roman"/>
          <w:b/>
          <w:i w:val="0"/>
          <w:sz w:val="24"/>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runtime identity is not a superuser;</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runtime identity does not own protected base tables;</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there is no direct SELECT on protected base tables;</w:t>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there is no INSERT, UPDATE, DELETE, or DDL;</w:t>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there is no bypass through inherited role memberships;</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there are no unexpected PUBLIC grants;</w:t>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access is permitted only to the approved restricted representation;</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T-07 returns PostgreSQL permission denied for base-table SELECT;</w:t>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 T-08 returns permission denied for a write attempt.</w:t>
      </w:r>
      <w:r>
        <w:rPr>
          <w:rFonts w:ascii="Times New Roman" w:hAnsi="Times New Roman" w:eastAsia="Times New Roman"/>
          <w:b w:val="0"/>
          <w:i w:val="0"/>
          <w:sz w:val="24"/>
        </w:rPr>
      </w:r>
      <w:r>
        <w:rPr>
          <w:rFonts w:ascii="Courier New" w:hAnsi="Courier New" w:eastAsia="Courier New"/>
          <w:b w:val="0"/>
          <w:i w:val="0"/>
          <w:sz w:val="23"/>
        </w:rPr>
      </w:r>
      <w:r>
        <w:rPr>
          <w:rFonts w:ascii="Times New Roman" w:hAnsi="Times New Roman" w:eastAsia="Times New Roman"/>
          <w:b w:val="0"/>
          <w:i w:val="0"/>
          <w:sz w:val="24"/>
        </w:rPr>
      </w:r>
    </w:p>
    <w:p>
      <w:r>
        <w:rPr>
          <w:rFonts w:ascii="Times New Roman" w:hAnsi="Times New Roman" w:eastAsia="Times New Roman"/>
          <w:b w:val="0"/>
          <w:i w:val="0"/>
          <w:sz w:val="24"/>
        </w:rPr>
        <w:t>A connection password/secret must not be stored as plaintext in an SQL file or repository.</w:t>
      </w:r>
    </w:p>
    <w:p>
      <w:pPr>
        <w:pStyle w:val="PZHeading2"/>
        <w:ind w:firstLine="0"/>
      </w:pPr>
      <w:r>
        <w:rPr>
          <w:rFonts w:ascii="Times New Roman" w:hAnsi="Times New Roman" w:eastAsia="Times New Roman"/>
          <w:b/>
          <w:i w:val="0"/>
          <w:sz w:val="26"/>
        </w:rPr>
        <w:t>E.3. Why AsNoTracking is not used as a security argument here</w:t>
      </w:r>
      <w:r>
        <w:rPr>
          <w:rFonts w:ascii="Courier New" w:hAnsi="Courier New" w:eastAsia="Courier New"/>
          <w:b/>
          <w:i w:val="0"/>
          <w:sz w:val="25"/>
        </w:rPr>
      </w:r>
      <w:r>
        <w:rPr>
          <w:rFonts w:ascii="Times New Roman" w:hAnsi="Times New Roman" w:eastAsia="Times New Roman"/>
          <w:b/>
          <w:i w:val="0"/>
          <w:sz w:val="26"/>
        </w:rPr>
      </w:r>
    </w:p>
    <w:p>
      <w:r>
        <w:rPr>
          <w:rFonts w:ascii="Courier New" w:hAnsi="Courier New" w:eastAsia="Courier New"/>
          <w:b w:val="0"/>
          <w:i w:val="0"/>
          <w:sz w:val="23"/>
        </w:rPr>
        <w:t>AsNoTracking and other ORM settings are not a read-only security boundary. Even when used for read efficiency, the security claim is verified by PostgreSQL privileges and integration tests.</w:t>
      </w:r>
      <w:r>
        <w:rPr>
          <w:rFonts w:ascii="Times New Roman" w:hAnsi="Times New Roman" w:eastAsia="Times New Roman"/>
          <w:b w:val="0"/>
          <w:i w:val="0"/>
          <w:sz w:val="24"/>
        </w:rPr>
      </w:r>
    </w:p>
    <w:p>
      <w:r>
        <w:br w:type="page"/>
      </w:r>
    </w:p>
    <w:p>
      <w:pPr>
        <w:pStyle w:val="PZHeading1"/>
        <w:ind w:firstLine="0"/>
      </w:pPr>
      <w:r>
        <w:rPr>
          <w:rFonts w:ascii="Times New Roman" w:hAnsi="Times New Roman" w:eastAsia="Times New Roman"/>
          <w:b/>
          <w:i w:val="0"/>
          <w:sz w:val="30"/>
        </w:rPr>
        <w:t>Appendix F. Candidate self-hosted deployment / Docker Compose</w:t>
      </w:r>
    </w:p>
    <w:p>
      <w:r>
        <w:rPr>
          <w:rFonts w:ascii="Times New Roman" w:hAnsi="Times New Roman" w:eastAsia="Times New Roman"/>
          <w:b/>
          <w:i w:val="0"/>
          <w:sz w:val="24"/>
        </w:rPr>
        <w:t>Appendix status: three-component topology - ACCEPTED ARCHITECTURAL DIRECTION; exact service/image/version/port values - CANDIDATE IMPLEMENTATION.</w:t>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r>
        <w:rPr>
          <w:rFonts w:ascii="Times New Roman" w:hAnsi="Times New Roman" w:eastAsia="Times New Roman"/>
          <w:b/>
          <w:i w:val="0"/>
          <w:sz w:val="24"/>
        </w:rPr>
      </w:r>
      <w:r>
        <w:rPr>
          <w:rFonts w:ascii="Times New Roman" w:hAnsi="Times New Roman" w:eastAsia="Times New Roman"/>
          <w:b w:val="0"/>
          <w:i w:val="0"/>
          <w:sz w:val="24"/>
        </w:rPr>
      </w:r>
    </w:p>
    <w:p>
      <w:r>
        <w:rPr>
          <w:rFonts w:ascii="Times New Roman" w:hAnsi="Times New Roman" w:eastAsia="Times New Roman"/>
          <w:b w:val="0"/>
          <w:i w:val="0"/>
          <w:sz w:val="24"/>
        </w:rPr>
        <w:t>Early environment variant:</w:t>
      </w:r>
    </w:p>
    <w:p>
      <w:pPr>
        <w:pStyle w:val="PZCode"/>
        <w:ind w:left="170" w:right="113" w:firstLine="0"/>
        <w:shd w:fill="F2F2F2"/>
      </w:pPr>
      <w:r>
        <w:rPr>
          <w:rFonts w:ascii="Courier New" w:hAnsi="Courier New" w:eastAsia="Courier New"/>
          <w:sz w:val="17"/>
        </w:rPr>
        <w:t>services:</w:t>
        <w:br/>
        <w:t xml:space="preserve">  pdg-gateway:</w:t>
        <w:br/>
        <w:t xml:space="preserve">    build: .</w:t>
        <w:br/>
        <w:t xml:space="preserve">    environment:</w:t>
        <w:br/>
        <w:t xml:space="preserve">      PlatformStore__ConnectionString: "Host=platform-store;..."</w:t>
        <w:br/>
        <w:t xml:space="preserve">      CorporateDataSource__ConnectionString: "Host=chinook-db;..."</w:t>
        <w:br/>
        <w:t xml:space="preserve">      Jwt__Issuer: "&lt;accepted-demo-issuer&gt;"</w:t>
        <w:br/>
        <w:t xml:space="preserve">      Jwt__Audience: "&lt;accepted-pdg-audience&gt;"</w:t>
        <w:br/>
        <w:t xml:space="preserve">      Jwt__SigningKey: ${JWT_SIGNING_KEY}</w:t>
        <w:br/>
        <w:t xml:space="preserve">    depends_on:</w:t>
        <w:br/>
        <w:t xml:space="preserve">      - platform-store</w:t>
        <w:br/>
        <w:t xml:space="preserve">      - chinook-db</w:t>
        <w:br/>
        <w:t xml:space="preserve">    ports:</w:t>
        <w:br/>
        <w:t xml:space="preserve">      - "8080:8080"</w:t>
        <w:br/>
        <w:br/>
        <w:t xml:space="preserve">  platform-store:</w:t>
        <w:br/>
        <w:t xml:space="preserve">    image: "&lt;pinned-postgres-image&gt;"</w:t>
        <w:br/>
        <w:t xml:space="preserve">    environment:</w:t>
        <w:br/>
        <w:t xml:space="preserve">      POSTGRES_USER: pdg_platform</w:t>
        <w:br/>
        <w:t xml:space="preserve">      POSTGRES_PASSWORD: ${PLATFORM_STORE_PASSWORD}</w:t>
        <w:br/>
        <w:t xml:space="preserve">      POSTGRES_DB: pdg_platform_store</w:t>
        <w:br/>
        <w:br/>
        <w:t xml:space="preserve">  chinook-db:</w:t>
        <w:br/>
        <w:t xml:space="preserve">    image: "&lt;pinned-postgres-image&gt;"</w:t>
        <w:br/>
        <w:t xml:space="preserve">    environment:</w:t>
        <w:br/>
        <w:t xml:space="preserve">      POSTGRES_USER: chinook_owner</w:t>
        <w:br/>
        <w:t xml:space="preserve">      POSTGRES_PASSWORD: ${CHINOOK_OWNER_PASSWORD}</w:t>
        <w:br/>
        <w:t xml:space="preserve">      POSTGRES_DB: chinook</w:t>
        <w:br/>
        <w:t xml:space="preserve">    volumes:</w:t>
        <w:br/>
        <w:t xml:space="preserve">      - ./init-chinook:/docker-entrypoint-initdb.d</w:t>
        <w:br/>
        <w:t xml:space="preserve">      - ./init-pdg-security:/docker-entrypoint-initdb.d</w:t>
      </w:r>
    </w:p>
    <w:p>
      <w:r>
        <w:rPr>
          <w:rFonts w:ascii="Times New Roman" w:hAnsi="Times New Roman" w:eastAsia="Times New Roman"/>
          <w:b w:val="0"/>
          <w:i w:val="0"/>
          <w:sz w:val="24"/>
        </w:rPr>
        <w:t>Core meaning of the candidate topology:</w:t>
      </w:r>
    </w:p>
    <w:p>
      <w:pPr>
        <w:pStyle w:val="PZList"/>
        <w:ind w:left="454" w:hanging="283"/>
      </w:pPr>
      <w:r>
        <w:rPr>
          <w:rFonts w:ascii="Times New Roman" w:hAnsi="Times New Roman" w:eastAsia="Times New Roman"/>
          <w:sz w:val="24"/>
        </w:rPr>
        <w:t>1. PDG API, Platform Store, and Corporate Data Source are started separately;</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2. the two data stores use separate credentials;</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3. secrets are supplied externally and are not hardcoded;</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4. Chinook and security objects are created by the bootstrap process;</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5. exact image/package versions are pinned in accepted manifests;</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6. latest is not used;</w:t>
      </w:r>
      <w:r>
        <w:rPr>
          <w:rFonts w:ascii="Courier New" w:hAnsi="Courier New" w:eastAsia="Courier New"/>
          <w:b w:val="0"/>
          <w:i w:val="0"/>
          <w:sz w:val="23"/>
        </w:rPr>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7. repeated bootstrap must reach the desired state without privilege escalation;</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8. persistent state survives restart;</w:t>
      </w:r>
      <w:r>
        <w:rPr>
          <w:rFonts w:ascii="Times New Roman" w:hAnsi="Times New Roman" w:eastAsia="Times New Roman"/>
          <w:b w:val="0"/>
          <w:i w:val="0"/>
          <w:sz w:val="24"/>
        </w:rPr>
      </w:r>
    </w:p>
    <w:p>
      <w:pPr>
        <w:pStyle w:val="PZList"/>
        <w:ind w:left="454" w:hanging="283"/>
      </w:pPr>
      <w:r>
        <w:rPr>
          <w:rFonts w:ascii="Times New Roman" w:hAnsi="Times New Roman" w:eastAsia="Times New Roman"/>
          <w:sz w:val="24"/>
        </w:rPr>
        <w:t>9. TLS is mandatory for bearer tokens outside localhost/an isolated same-machine network.</w:t>
      </w:r>
      <w:r>
        <w:rPr>
          <w:rFonts w:ascii="Times New Roman" w:hAnsi="Times New Roman" w:eastAsia="Times New Roman"/>
          <w:b w:val="0"/>
          <w:i w:val="0"/>
          <w:sz w:val="24"/>
        </w:rPr>
      </w:r>
    </w:p>
    <w:p>
      <w:r>
        <w:rPr>
          <w:rFonts w:ascii="Courier New" w:hAnsi="Courier New" w:eastAsia="Courier New"/>
          <w:b w:val="0"/>
          <w:i w:val="0"/>
          <w:sz w:val="23"/>
        </w:rPr>
        <w:t>depends_on by itself is not a readiness mechanism. The implementation may require health checks/retry policy; this implementation detail must be confirmed by T-24-T-27.</w:t>
      </w:r>
      <w:r>
        <w:rPr>
          <w:rFonts w:ascii="Times New Roman" w:hAnsi="Times New Roman" w:eastAsia="Times New Roman"/>
          <w:b w:val="0"/>
          <w:i w:val="0"/>
          <w:sz w:val="24"/>
        </w:rPr>
      </w:r>
    </w:p>
    <w:p>
      <w:r>
        <w:br w:type="page"/>
      </w:r>
    </w:p>
    <w:p>
      <w:pPr>
        <w:pStyle w:val="PZHeading1"/>
        <w:ind w:firstLine="0"/>
      </w:pPr>
      <w:r>
        <w:rPr>
          <w:rFonts w:ascii="Times New Roman" w:hAnsi="Times New Roman" w:eastAsia="Times New Roman"/>
          <w:b/>
          <w:i w:val="0"/>
          <w:sz w:val="30"/>
        </w:rPr>
        <w:t>Appendix G. Acceptance suite T-01-T-27 checklist</w:t>
      </w:r>
    </w:p>
    <w:p>
      <w:r>
        <w:rPr>
          <w:rFonts w:ascii="Times New Roman" w:hAnsi="Times New Roman" w:eastAsia="Times New Roman"/>
          <w:b/>
          <w:i w:val="0"/>
          <w:sz w:val="24"/>
        </w:rPr>
        <w:t>Appendix status: reference summary. The approved Technical Requirements v0.1 are the normative source.</w:t>
      </w:r>
      <w:r>
        <w:rPr>
          <w:rFonts w:ascii="Times New Roman" w:hAnsi="Times New Roman" w:eastAsia="Times New Roman"/>
          <w:b w:val="0"/>
          <w:i w:val="0"/>
          <w:sz w:val="24"/>
        </w:rPr>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val="true"/>
        </w:trPr>
        <w:tc>
          <w:tcPr>
            <w:tcW w:type="dxa" w:w="1008"/>
            <w:vAlign w:val="center"/>
            <w:shd w:fill="E7E6E6"/>
          </w:tcPr>
          <w:p>
            <w:pPr>
              <w:spacing w:after="20" w:before="20"/>
              <w:ind w:firstLine="0"/>
              <w:jc w:val="left"/>
            </w:pPr>
            <w:r>
              <w:rPr>
                <w:rFonts w:ascii="Times New Roman" w:hAnsi="Times New Roman" w:eastAsia="Times New Roman"/>
                <w:b/>
                <w:i w:val="0"/>
                <w:sz w:val="18"/>
              </w:rPr>
              <w:t>ID</w:t>
            </w:r>
          </w:p>
        </w:tc>
        <w:tc>
          <w:tcPr>
            <w:tcW w:type="dxa" w:w="3178"/>
            <w:vAlign w:val="center"/>
            <w:shd w:fill="E7E6E6"/>
          </w:tcPr>
          <w:p>
            <w:pPr>
              <w:spacing w:after="20" w:before="20"/>
              <w:ind w:firstLine="0"/>
              <w:jc w:val="left"/>
            </w:pPr>
            <w:r>
              <w:rPr>
                <w:rFonts w:ascii="Times New Roman" w:hAnsi="Times New Roman" w:eastAsia="Times New Roman"/>
                <w:b/>
                <w:i w:val="0"/>
                <w:sz w:val="18"/>
              </w:rPr>
              <w:t>Test</w:t>
            </w:r>
          </w:p>
        </w:tc>
        <w:tc>
          <w:tcPr>
            <w:tcW w:type="dxa" w:w="5449"/>
            <w:vAlign w:val="center"/>
            <w:shd w:fill="E7E6E6"/>
          </w:tcPr>
          <w:p>
            <w:pPr>
              <w:spacing w:after="20" w:before="20"/>
              <w:ind w:firstLine="0"/>
              <w:jc w:val="left"/>
            </w:pPr>
            <w:r>
              <w:rPr>
                <w:rFonts w:ascii="Times New Roman" w:hAnsi="Times New Roman" w:eastAsia="Times New Roman"/>
                <w:b/>
                <w:i w:val="0"/>
                <w:sz w:val="18"/>
              </w:rPr>
              <w:t>Key expectation</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T-01</w:t>
            </w:r>
          </w:p>
        </w:tc>
        <w:tc>
          <w:tcPr>
            <w:tcW w:type="dxa" w:w="3178"/>
            <w:vAlign w:val="center"/>
          </w:tcPr>
          <w:p>
            <w:pPr>
              <w:spacing w:after="20" w:before="20"/>
              <w:ind w:firstLine="0"/>
              <w:jc w:val="left"/>
            </w:pPr>
            <w:r>
              <w:rPr>
                <w:rFonts w:ascii="Times New Roman" w:hAnsi="Times New Roman" w:eastAsia="Times New Roman"/>
                <w:b w:val="0"/>
                <w:i w:val="0"/>
                <w:sz w:val="18"/>
              </w:rPr>
              <w:t>Valid ALLOW</w:t>
            </w:r>
          </w:p>
        </w:tc>
        <w:tc>
          <w:tcPr>
            <w:tcW w:type="dxa" w:w="5449"/>
            <w:vAlign w:val="center"/>
          </w:tcPr>
          <w:p>
            <w:pPr>
              <w:spacing w:after="20" w:before="20"/>
              <w:ind w:firstLine="0"/>
              <w:jc w:val="left"/>
            </w:pPr>
            <w:r>
              <w:rPr>
                <w:rFonts w:ascii="Courier New" w:hAnsi="Courier New" w:eastAsia="Courier New"/>
                <w:b w:val="0"/>
                <w:i w:val="0"/>
                <w:sz w:val="17"/>
              </w:rPr>
              <w:t>200, permitted rows/columns, ALLOW audit, correct RowsReturned</w:t>
            </w:r>
            <w:r>
              <w:rPr>
                <w:rFonts w:ascii="Times New Roman" w:hAnsi="Times New Roman" w:eastAsia="Times New Roman"/>
                <w:b w:val="0"/>
                <w:i w:val="0"/>
                <w:sz w:val="18"/>
              </w:rPr>
            </w:r>
            <w:r>
              <w:rPr>
                <w:rFonts w:ascii="Courier New" w:hAnsi="Courier New" w:eastAsia="Courier New"/>
                <w:b w:val="0"/>
                <w:i w:val="0"/>
                <w:sz w:val="17"/>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T-02</w:t>
            </w:r>
          </w:p>
        </w:tc>
        <w:tc>
          <w:tcPr>
            <w:tcW w:type="dxa" w:w="3178"/>
            <w:vAlign w:val="center"/>
          </w:tcPr>
          <w:p>
            <w:pPr>
              <w:spacing w:after="20" w:before="20"/>
              <w:ind w:firstLine="0"/>
              <w:jc w:val="left"/>
            </w:pPr>
            <w:r>
              <w:rPr>
                <w:rFonts w:ascii="Times New Roman" w:hAnsi="Times New Roman" w:eastAsia="Times New Roman"/>
                <w:b w:val="0"/>
                <w:i w:val="0"/>
                <w:sz w:val="18"/>
              </w:rPr>
              <w:t>Resource-level DENY</w:t>
            </w:r>
          </w:p>
        </w:tc>
        <w:tc>
          <w:tcPr>
            <w:tcW w:type="dxa" w:w="5449"/>
            <w:vAlign w:val="center"/>
          </w:tcPr>
          <w:p>
            <w:pPr>
              <w:spacing w:after="20" w:before="20"/>
              <w:ind w:firstLine="0"/>
              <w:jc w:val="left"/>
            </w:pPr>
            <w:r>
              <w:rPr>
                <w:rFonts w:ascii="Courier New" w:hAnsi="Courier New" w:eastAsia="Courier New"/>
                <w:b w:val="0"/>
                <w:i w:val="0"/>
                <w:sz w:val="17"/>
              </w:rPr>
              <w:t>403, protected source is not read, DENY audit</w:t>
            </w:r>
            <w:r>
              <w:rPr>
                <w:rFonts w:ascii="Times New Roman" w:hAnsi="Times New Roman" w:eastAsia="Times New Roman"/>
                <w:b w:val="0"/>
                <w:i w:val="0"/>
                <w:sz w:val="18"/>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T-03</w:t>
            </w:r>
          </w:p>
        </w:tc>
        <w:tc>
          <w:tcPr>
            <w:tcW w:type="dxa" w:w="3178"/>
            <w:vAlign w:val="center"/>
          </w:tcPr>
          <w:p>
            <w:pPr>
              <w:spacing w:after="20" w:before="20"/>
              <w:ind w:firstLine="0"/>
              <w:jc w:val="left"/>
            </w:pPr>
            <w:r>
              <w:rPr>
                <w:rFonts w:ascii="Times New Roman" w:hAnsi="Times New Roman" w:eastAsia="Times New Roman"/>
                <w:b w:val="0"/>
                <w:i w:val="0"/>
                <w:sz w:val="18"/>
              </w:rPr>
              <w:t>Automatic row filtering</w:t>
            </w:r>
          </w:p>
        </w:tc>
        <w:tc>
          <w:tcPr>
            <w:tcW w:type="dxa" w:w="5449"/>
            <w:vAlign w:val="center"/>
          </w:tcPr>
          <w:p>
            <w:pPr>
              <w:spacing w:after="20" w:before="20"/>
              <w:ind w:firstLine="0"/>
              <w:jc w:val="left"/>
            </w:pPr>
            <w:r>
              <w:rPr>
                <w:rFonts w:ascii="Times New Roman" w:hAnsi="Times New Roman" w:eastAsia="Times New Roman"/>
                <w:b w:val="0"/>
                <w:i w:val="0"/>
                <w:sz w:val="18"/>
              </w:rPr>
              <w:t>without explicit country, only the permitted Subject scope is returned</w:t>
            </w:r>
            <w:r>
              <w:rPr>
                <w:rFonts w:ascii="Courier New" w:hAnsi="Courier New" w:eastAsia="Courier New"/>
                <w:b w:val="0"/>
                <w:i w:val="0"/>
                <w:sz w:val="17"/>
              </w:rPr>
            </w:r>
            <w:r>
              <w:rPr>
                <w:rFonts w:ascii="Times New Roman" w:hAnsi="Times New Roman" w:eastAsia="Times New Roman"/>
                <w:b w:val="0"/>
                <w:i w:val="0"/>
                <w:sz w:val="18"/>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T-04</w:t>
            </w:r>
          </w:p>
        </w:tc>
        <w:tc>
          <w:tcPr>
            <w:tcW w:type="dxa" w:w="3178"/>
            <w:vAlign w:val="center"/>
          </w:tcPr>
          <w:p>
            <w:pPr>
              <w:spacing w:after="20" w:before="20"/>
              <w:ind w:firstLine="0"/>
              <w:jc w:val="left"/>
            </w:pPr>
            <w:r>
              <w:rPr>
                <w:rFonts w:ascii="Times New Roman" w:hAnsi="Times New Roman" w:eastAsia="Times New Roman"/>
                <w:b w:val="0"/>
                <w:i w:val="0"/>
                <w:sz w:val="18"/>
              </w:rPr>
              <w:t>Explicit out-of-scope</w:t>
            </w:r>
          </w:p>
        </w:tc>
        <w:tc>
          <w:tcPr>
            <w:tcW w:type="dxa" w:w="5449"/>
            <w:vAlign w:val="center"/>
          </w:tcPr>
          <w:p>
            <w:pPr>
              <w:spacing w:after="20" w:before="20"/>
              <w:ind w:firstLine="0"/>
              <w:jc w:val="left"/>
            </w:pPr>
            <w:r>
              <w:rPr>
                <w:rFonts w:ascii="Courier New" w:hAnsi="Courier New" w:eastAsia="Courier New"/>
                <w:b w:val="0"/>
                <w:i w:val="0"/>
                <w:sz w:val="17"/>
              </w:rPr>
              <w:t>country=USA for the Europe role -&gt; 403 + DENY audit</w:t>
            </w:r>
            <w:r>
              <w:rPr>
                <w:rFonts w:ascii="Times New Roman" w:hAnsi="Times New Roman" w:eastAsia="Times New Roman"/>
                <w:b w:val="0"/>
                <w:i w:val="0"/>
                <w:sz w:val="18"/>
              </w:rPr>
            </w:r>
            <w:r>
              <w:rPr>
                <w:rFonts w:ascii="Courier New" w:hAnsi="Courier New" w:eastAsia="Courier New"/>
                <w:b w:val="0"/>
                <w:i w:val="0"/>
                <w:sz w:val="17"/>
              </w:rPr>
            </w:r>
            <w:r>
              <w:rPr>
                <w:rFonts w:ascii="Times New Roman" w:hAnsi="Times New Roman" w:eastAsia="Times New Roman"/>
                <w:b w:val="0"/>
                <w:i w:val="0"/>
                <w:sz w:val="18"/>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T-05</w:t>
            </w:r>
          </w:p>
        </w:tc>
        <w:tc>
          <w:tcPr>
            <w:tcW w:type="dxa" w:w="3178"/>
            <w:vAlign w:val="center"/>
          </w:tcPr>
          <w:p>
            <w:pPr>
              <w:spacing w:after="20" w:before="20"/>
              <w:ind w:firstLine="0"/>
              <w:jc w:val="left"/>
            </w:pPr>
            <w:r>
              <w:rPr>
                <w:rFonts w:ascii="Times New Roman" w:hAnsi="Times New Roman" w:eastAsia="Times New Roman"/>
                <w:b w:val="0"/>
                <w:i w:val="0"/>
                <w:sz w:val="18"/>
              </w:rPr>
              <w:t>GlobalAnalyst</w:t>
            </w:r>
          </w:p>
        </w:tc>
        <w:tc>
          <w:tcPr>
            <w:tcW w:type="dxa" w:w="5449"/>
            <w:vAlign w:val="center"/>
          </w:tcPr>
          <w:p>
            <w:pPr>
              <w:spacing w:after="20" w:before="20"/>
              <w:ind w:firstLine="0"/>
              <w:jc w:val="left"/>
            </w:pPr>
            <w:r>
              <w:rPr>
                <w:rFonts w:ascii="Courier New" w:hAnsi="Courier New" w:eastAsia="Courier New"/>
                <w:b w:val="0"/>
                <w:i w:val="0"/>
                <w:sz w:val="17"/>
              </w:rPr>
              <w:t>200, all permitted SalesSummary rows, fixed columns</w:t>
            </w:r>
            <w:r>
              <w:rPr>
                <w:rFonts w:ascii="Times New Roman" w:hAnsi="Times New Roman" w:eastAsia="Times New Roman"/>
                <w:b w:val="0"/>
                <w:i w:val="0"/>
                <w:sz w:val="18"/>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T-06</w:t>
            </w:r>
          </w:p>
        </w:tc>
        <w:tc>
          <w:tcPr>
            <w:tcW w:type="dxa" w:w="3178"/>
            <w:vAlign w:val="center"/>
          </w:tcPr>
          <w:p>
            <w:pPr>
              <w:spacing w:after="20" w:before="20"/>
              <w:ind w:firstLine="0"/>
              <w:jc w:val="left"/>
            </w:pPr>
            <w:r>
              <w:rPr>
                <w:rFonts w:ascii="Times New Roman" w:hAnsi="Times New Roman" w:eastAsia="Times New Roman"/>
                <w:b w:val="0"/>
                <w:i w:val="0"/>
                <w:sz w:val="18"/>
              </w:rPr>
              <w:t>Column restriction</w:t>
            </w:r>
          </w:p>
        </w:tc>
        <w:tc>
          <w:tcPr>
            <w:tcW w:type="dxa" w:w="5449"/>
            <w:vAlign w:val="center"/>
          </w:tcPr>
          <w:p>
            <w:pPr>
              <w:spacing w:after="20" w:before="20"/>
              <w:ind w:firstLine="0"/>
              <w:jc w:val="left"/>
            </w:pPr>
            <w:r>
              <w:rPr>
                <w:rFonts w:ascii="Courier New" w:hAnsi="Courier New" w:eastAsia="Courier New"/>
                <w:b w:val="0"/>
                <w:i w:val="0"/>
                <w:sz w:val="17"/>
              </w:rPr>
              <w:t>Email, Phone, Address, PostalCode, and Fax are absent</w:t>
            </w:r>
            <w:r>
              <w:rPr>
                <w:rFonts w:ascii="Times New Roman" w:hAnsi="Times New Roman" w:eastAsia="Times New Roman"/>
                <w:b w:val="0"/>
                <w:i w:val="0"/>
                <w:sz w:val="18"/>
              </w:rPr>
            </w:r>
            <w:r>
              <w:rPr>
                <w:rFonts w:ascii="Courier New" w:hAnsi="Courier New" w:eastAsia="Courier New"/>
                <w:b w:val="0"/>
                <w:i w:val="0"/>
                <w:sz w:val="17"/>
              </w:rPr>
            </w:r>
            <w:r>
              <w:rPr>
                <w:rFonts w:ascii="Times New Roman" w:hAnsi="Times New Roman" w:eastAsia="Times New Roman"/>
                <w:b w:val="0"/>
                <w:i w:val="0"/>
                <w:sz w:val="18"/>
              </w:rPr>
            </w:r>
            <w:r>
              <w:rPr>
                <w:rFonts w:ascii="Courier New" w:hAnsi="Courier New" w:eastAsia="Courier New"/>
                <w:b w:val="0"/>
                <w:i w:val="0"/>
                <w:sz w:val="17"/>
              </w:rPr>
            </w:r>
            <w:r>
              <w:rPr>
                <w:rFonts w:ascii="Times New Roman" w:hAnsi="Times New Roman" w:eastAsia="Times New Roman"/>
                <w:b w:val="0"/>
                <w:i w:val="0"/>
                <w:sz w:val="18"/>
              </w:rPr>
            </w:r>
            <w:r>
              <w:rPr>
                <w:rFonts w:ascii="Courier New" w:hAnsi="Courier New" w:eastAsia="Courier New"/>
                <w:b w:val="0"/>
                <w:i w:val="0"/>
                <w:sz w:val="17"/>
              </w:rPr>
            </w:r>
            <w:r>
              <w:rPr>
                <w:rFonts w:ascii="Times New Roman" w:hAnsi="Times New Roman" w:eastAsia="Times New Roman"/>
                <w:b w:val="0"/>
                <w:i w:val="0"/>
                <w:sz w:val="18"/>
              </w:rPr>
            </w:r>
            <w:r>
              <w:rPr>
                <w:rFonts w:ascii="Courier New" w:hAnsi="Courier New" w:eastAsia="Courier New"/>
                <w:b w:val="0"/>
                <w:i w:val="0"/>
                <w:sz w:val="17"/>
              </w:rPr>
            </w:r>
            <w:r>
              <w:rPr>
                <w:rFonts w:ascii="Times New Roman" w:hAnsi="Times New Roman" w:eastAsia="Times New Roman"/>
                <w:b w:val="0"/>
                <w:i w:val="0"/>
                <w:sz w:val="18"/>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T-07</w:t>
            </w:r>
          </w:p>
        </w:tc>
        <w:tc>
          <w:tcPr>
            <w:tcW w:type="dxa" w:w="3178"/>
            <w:vAlign w:val="center"/>
          </w:tcPr>
          <w:p>
            <w:pPr>
              <w:spacing w:after="20" w:before="20"/>
              <w:ind w:firstLine="0"/>
              <w:jc w:val="left"/>
            </w:pPr>
            <w:r>
              <w:rPr>
                <w:rFonts w:ascii="Times New Roman" w:hAnsi="Times New Roman" w:eastAsia="Times New Roman"/>
                <w:b w:val="0"/>
                <w:i w:val="0"/>
                <w:sz w:val="18"/>
              </w:rPr>
              <w:t>Base-table SELECT denied</w:t>
            </w:r>
          </w:p>
        </w:tc>
        <w:tc>
          <w:tcPr>
            <w:tcW w:type="dxa" w:w="5449"/>
            <w:vAlign w:val="center"/>
          </w:tcPr>
          <w:p>
            <w:pPr>
              <w:spacing w:after="20" w:before="20"/>
              <w:ind w:firstLine="0"/>
              <w:jc w:val="left"/>
            </w:pPr>
            <w:r>
              <w:rPr>
                <w:rFonts w:ascii="Times New Roman" w:hAnsi="Times New Roman" w:eastAsia="Times New Roman"/>
                <w:b w:val="0"/>
                <w:i w:val="0"/>
                <w:sz w:val="18"/>
              </w:rPr>
              <w:t>PostgreSQL permission denied under the runtime identity</w:t>
            </w:r>
            <w:r>
              <w:rPr>
                <w:rFonts w:ascii="Courier New" w:hAnsi="Courier New" w:eastAsia="Courier New"/>
                <w:b w:val="0"/>
                <w:i w:val="0"/>
                <w:sz w:val="17"/>
              </w:rPr>
            </w:r>
            <w:r>
              <w:rPr>
                <w:rFonts w:ascii="Times New Roman" w:hAnsi="Times New Roman" w:eastAsia="Times New Roman"/>
                <w:b w:val="0"/>
                <w:i w:val="0"/>
                <w:sz w:val="18"/>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T-08</w:t>
            </w:r>
          </w:p>
        </w:tc>
        <w:tc>
          <w:tcPr>
            <w:tcW w:type="dxa" w:w="3178"/>
            <w:vAlign w:val="center"/>
          </w:tcPr>
          <w:p>
            <w:pPr>
              <w:spacing w:after="20" w:before="20"/>
              <w:ind w:firstLine="0"/>
              <w:jc w:val="left"/>
            </w:pPr>
            <w:r>
              <w:rPr>
                <w:rFonts w:ascii="Times New Roman" w:hAnsi="Times New Roman" w:eastAsia="Times New Roman"/>
                <w:b w:val="0"/>
                <w:i w:val="0"/>
                <w:sz w:val="18"/>
              </w:rPr>
              <w:t>Write denied</w:t>
            </w:r>
          </w:p>
        </w:tc>
        <w:tc>
          <w:tcPr>
            <w:tcW w:type="dxa" w:w="5449"/>
            <w:vAlign w:val="center"/>
          </w:tcPr>
          <w:p>
            <w:pPr>
              <w:spacing w:after="20" w:before="20"/>
              <w:ind w:firstLine="0"/>
              <w:jc w:val="left"/>
            </w:pPr>
            <w:r>
              <w:rPr>
                <w:rFonts w:ascii="Times New Roman" w:hAnsi="Times New Roman" w:eastAsia="Times New Roman"/>
                <w:b w:val="0"/>
                <w:i w:val="0"/>
                <w:sz w:val="18"/>
              </w:rPr>
              <w:t xml:space="preserve">write attempt → </w:t>
            </w:r>
            <w:r>
              <w:rPr>
                <w:rFonts w:ascii="Courier New" w:hAnsi="Courier New" w:eastAsia="Courier New"/>
                <w:b w:val="0"/>
                <w:i w:val="0"/>
                <w:sz w:val="17"/>
              </w:rPr>
              <w:t>permission denied</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T-09</w:t>
            </w:r>
          </w:p>
        </w:tc>
        <w:tc>
          <w:tcPr>
            <w:tcW w:type="dxa" w:w="3178"/>
            <w:vAlign w:val="center"/>
          </w:tcPr>
          <w:p>
            <w:pPr>
              <w:spacing w:after="20" w:before="20"/>
              <w:ind w:firstLine="0"/>
              <w:jc w:val="left"/>
            </w:pPr>
            <w:r>
              <w:rPr>
                <w:rFonts w:ascii="Times New Roman" w:hAnsi="Times New Roman" w:eastAsia="Times New Roman"/>
                <w:b w:val="0"/>
                <w:i w:val="0"/>
                <w:sz w:val="18"/>
              </w:rPr>
              <w:t>Missing/invalid JWT</w:t>
            </w:r>
          </w:p>
        </w:tc>
        <w:tc>
          <w:tcPr>
            <w:tcW w:type="dxa" w:w="5449"/>
            <w:vAlign w:val="center"/>
          </w:tcPr>
          <w:p>
            <w:pPr>
              <w:spacing w:after="20" w:before="20"/>
              <w:ind w:firstLine="0"/>
              <w:jc w:val="left"/>
            </w:pPr>
            <w:r>
              <w:rPr>
                <w:rFonts w:ascii="Courier New" w:hAnsi="Courier New" w:eastAsia="Courier New"/>
                <w:b w:val="0"/>
                <w:i w:val="0"/>
                <w:sz w:val="17"/>
              </w:rPr>
              <w:t>401 / authentication_failed</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T-10</w:t>
            </w:r>
          </w:p>
        </w:tc>
        <w:tc>
          <w:tcPr>
            <w:tcW w:type="dxa" w:w="3178"/>
            <w:vAlign w:val="center"/>
          </w:tcPr>
          <w:p>
            <w:pPr>
              <w:spacing w:after="20" w:before="20"/>
              <w:ind w:firstLine="0"/>
              <w:jc w:val="left"/>
            </w:pPr>
            <w:r>
              <w:rPr>
                <w:rFonts w:ascii="Times New Roman" w:hAnsi="Times New Roman" w:eastAsia="Times New Roman"/>
                <w:b w:val="0"/>
                <w:i w:val="0"/>
                <w:sz w:val="18"/>
              </w:rPr>
              <w:t>Expired JWT</w:t>
            </w:r>
          </w:p>
        </w:tc>
        <w:tc>
          <w:tcPr>
            <w:tcW w:type="dxa" w:w="5449"/>
            <w:vAlign w:val="center"/>
          </w:tcPr>
          <w:p>
            <w:pPr>
              <w:spacing w:after="20" w:before="20"/>
              <w:ind w:firstLine="0"/>
              <w:jc w:val="left"/>
            </w:pPr>
            <w:r>
              <w:rPr>
                <w:rFonts w:ascii="Courier New" w:hAnsi="Courier New" w:eastAsia="Courier New"/>
                <w:b w:val="0"/>
                <w:i w:val="0"/>
                <w:sz w:val="17"/>
              </w:rPr>
              <w:t>401 / authentication_failed</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T-11</w:t>
            </w:r>
          </w:p>
        </w:tc>
        <w:tc>
          <w:tcPr>
            <w:tcW w:type="dxa" w:w="3178"/>
            <w:vAlign w:val="center"/>
          </w:tcPr>
          <w:p>
            <w:pPr>
              <w:spacing w:after="20" w:before="20"/>
              <w:ind w:firstLine="0"/>
              <w:jc w:val="left"/>
            </w:pPr>
            <w:r>
              <w:rPr>
                <w:rFonts w:ascii="Times New Roman" w:hAnsi="Times New Roman" w:eastAsia="Times New Roman"/>
                <w:b w:val="0"/>
                <w:i w:val="0"/>
                <w:sz w:val="18"/>
              </w:rPr>
              <w:t xml:space="preserve">Missing/invalid </w:t>
            </w:r>
            <w:r>
              <w:rPr>
                <w:rFonts w:ascii="Courier New" w:hAnsi="Courier New" w:eastAsia="Courier New"/>
                <w:b w:val="0"/>
                <w:i w:val="0"/>
                <w:sz w:val="17"/>
              </w:rPr>
              <w:t>act.sub</w:t>
            </w:r>
          </w:p>
        </w:tc>
        <w:tc>
          <w:tcPr>
            <w:tcW w:type="dxa" w:w="5449"/>
            <w:vAlign w:val="center"/>
          </w:tcPr>
          <w:p>
            <w:pPr>
              <w:spacing w:after="20" w:before="20"/>
              <w:ind w:firstLine="0"/>
              <w:jc w:val="left"/>
            </w:pPr>
            <w:r>
              <w:rPr>
                <w:rFonts w:ascii="Courier New" w:hAnsi="Courier New" w:eastAsia="Courier New"/>
                <w:b w:val="0"/>
                <w:i w:val="0"/>
                <w:sz w:val="17"/>
              </w:rPr>
              <w:t>401; no Subject-only fallback</w:t>
            </w:r>
            <w:r>
              <w:rPr>
                <w:rFonts w:ascii="Times New Roman" w:hAnsi="Times New Roman" w:eastAsia="Times New Roman"/>
                <w:b w:val="0"/>
                <w:i w:val="0"/>
                <w:sz w:val="18"/>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T-12</w:t>
            </w:r>
          </w:p>
        </w:tc>
        <w:tc>
          <w:tcPr>
            <w:tcW w:type="dxa" w:w="3178"/>
            <w:vAlign w:val="center"/>
          </w:tcPr>
          <w:p>
            <w:pPr>
              <w:spacing w:after="20" w:before="20"/>
              <w:ind w:firstLine="0"/>
              <w:jc w:val="left"/>
            </w:pPr>
            <w:r>
              <w:rPr>
                <w:rFonts w:ascii="Times New Roman" w:hAnsi="Times New Roman" w:eastAsia="Times New Roman"/>
                <w:b w:val="0"/>
                <w:i w:val="0"/>
                <w:sz w:val="18"/>
              </w:rPr>
              <w:t>Invalid delegation</w:t>
            </w:r>
          </w:p>
        </w:tc>
        <w:tc>
          <w:tcPr>
            <w:tcW w:type="dxa" w:w="5449"/>
            <w:vAlign w:val="center"/>
          </w:tcPr>
          <w:p>
            <w:pPr>
              <w:spacing w:after="20" w:before="20"/>
              <w:ind w:firstLine="0"/>
              <w:jc w:val="left"/>
            </w:pPr>
            <w:r>
              <w:rPr>
                <w:rFonts w:ascii="Courier New" w:hAnsi="Courier New" w:eastAsia="Courier New"/>
                <w:b w:val="0"/>
                <w:i w:val="0"/>
                <w:sz w:val="17"/>
              </w:rPr>
              <w:t>403; Corporate Data Source is not read; DENY audit</w:t>
            </w:r>
            <w:r>
              <w:rPr>
                <w:rFonts w:ascii="Times New Roman" w:hAnsi="Times New Roman" w:eastAsia="Times New Roman"/>
                <w:b w:val="0"/>
                <w:i w:val="0"/>
                <w:sz w:val="18"/>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T-13</w:t>
            </w:r>
          </w:p>
        </w:tc>
        <w:tc>
          <w:tcPr>
            <w:tcW w:type="dxa" w:w="3178"/>
            <w:vAlign w:val="center"/>
          </w:tcPr>
          <w:p>
            <w:pPr>
              <w:spacing w:after="20" w:before="20"/>
              <w:ind w:firstLine="0"/>
              <w:jc w:val="left"/>
            </w:pPr>
            <w:r>
              <w:rPr>
                <w:rFonts w:ascii="Times New Roman" w:hAnsi="Times New Roman" w:eastAsia="Times New Roman"/>
                <w:b w:val="0"/>
                <w:i w:val="0"/>
                <w:sz w:val="18"/>
              </w:rPr>
              <w:t>Actor capability absent</w:t>
            </w:r>
          </w:p>
        </w:tc>
        <w:tc>
          <w:tcPr>
            <w:tcW w:type="dxa" w:w="5449"/>
            <w:vAlign w:val="center"/>
          </w:tcPr>
          <w:p>
            <w:pPr>
              <w:spacing w:after="20" w:before="20"/>
              <w:ind w:firstLine="0"/>
              <w:jc w:val="left"/>
            </w:pPr>
            <w:r>
              <w:rPr>
                <w:rFonts w:ascii="Times New Roman" w:hAnsi="Times New Roman" w:eastAsia="Times New Roman"/>
                <w:b w:val="0"/>
                <w:i w:val="0"/>
                <w:sz w:val="18"/>
              </w:rPr>
              <w:t>no sales.read -&gt; 403</w:t>
            </w:r>
            <w:r>
              <w:rPr>
                <w:rFonts w:ascii="Courier New" w:hAnsi="Courier New" w:eastAsia="Courier New"/>
                <w:b w:val="0"/>
                <w:i w:val="0"/>
                <w:sz w:val="17"/>
              </w:rPr>
            </w:r>
            <w:r>
              <w:rPr>
                <w:rFonts w:ascii="Times New Roman" w:hAnsi="Times New Roman" w:eastAsia="Times New Roman"/>
                <w:b w:val="0"/>
                <w:i w:val="0"/>
                <w:sz w:val="18"/>
              </w:rPr>
            </w:r>
            <w:r>
              <w:rPr>
                <w:rFonts w:ascii="Courier New" w:hAnsi="Courier New" w:eastAsia="Courier New"/>
                <w:b w:val="0"/>
                <w:i w:val="0"/>
                <w:sz w:val="17"/>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T-14</w:t>
            </w:r>
          </w:p>
        </w:tc>
        <w:tc>
          <w:tcPr>
            <w:tcW w:type="dxa" w:w="3178"/>
            <w:vAlign w:val="center"/>
          </w:tcPr>
          <w:p>
            <w:pPr>
              <w:spacing w:after="20" w:before="20"/>
              <w:ind w:firstLine="0"/>
              <w:jc w:val="left"/>
            </w:pPr>
            <w:r>
              <w:rPr>
                <w:rFonts w:ascii="Times New Roman" w:hAnsi="Times New Roman" w:eastAsia="Times New Roman"/>
                <w:b w:val="0"/>
                <w:i w:val="0"/>
                <w:sz w:val="18"/>
              </w:rPr>
              <w:t>Actor policy limit</w:t>
            </w:r>
          </w:p>
        </w:tc>
        <w:tc>
          <w:tcPr>
            <w:tcW w:type="dxa" w:w="5449"/>
            <w:vAlign w:val="center"/>
          </w:tcPr>
          <w:p>
            <w:pPr>
              <w:spacing w:after="20" w:before="20"/>
              <w:ind w:firstLine="0"/>
              <w:jc w:val="left"/>
            </w:pPr>
            <w:r>
              <w:rPr>
                <w:rFonts w:ascii="Times New Roman" w:hAnsi="Times New Roman" w:eastAsia="Times New Roman"/>
                <w:b w:val="0"/>
                <w:i w:val="0"/>
                <w:sz w:val="18"/>
              </w:rPr>
              <w:t>token contains capability, Actor policy denies it -&gt; 403</w:t>
            </w:r>
            <w:r>
              <w:rPr>
                <w:rFonts w:ascii="Courier New" w:hAnsi="Courier New" w:eastAsia="Courier New"/>
                <w:b w:val="0"/>
                <w:i w:val="0"/>
                <w:sz w:val="17"/>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T-15</w:t>
            </w:r>
          </w:p>
        </w:tc>
        <w:tc>
          <w:tcPr>
            <w:tcW w:type="dxa" w:w="3178"/>
            <w:vAlign w:val="center"/>
          </w:tcPr>
          <w:p>
            <w:pPr>
              <w:spacing w:after="20" w:before="20"/>
              <w:ind w:firstLine="0"/>
              <w:jc w:val="left"/>
            </w:pPr>
            <w:r>
              <w:rPr>
                <w:rFonts w:ascii="Times New Roman" w:hAnsi="Times New Roman" w:eastAsia="Times New Roman"/>
                <w:b w:val="0"/>
                <w:i w:val="0"/>
                <w:sz w:val="18"/>
              </w:rPr>
              <w:t>Unknown resource</w:t>
            </w:r>
          </w:p>
        </w:tc>
        <w:tc>
          <w:tcPr>
            <w:tcW w:type="dxa" w:w="5449"/>
            <w:vAlign w:val="center"/>
          </w:tcPr>
          <w:p>
            <w:pPr>
              <w:spacing w:after="20" w:before="20"/>
              <w:ind w:firstLine="0"/>
              <w:jc w:val="left"/>
            </w:pPr>
            <w:r>
              <w:rPr>
                <w:rFonts w:ascii="Courier New" w:hAnsi="Courier New" w:eastAsia="Courier New"/>
                <w:b w:val="0"/>
                <w:i w:val="0"/>
                <w:sz w:val="17"/>
              </w:rPr>
              <w:t>404 / resource_not_found</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T-16</w:t>
            </w:r>
          </w:p>
        </w:tc>
        <w:tc>
          <w:tcPr>
            <w:tcW w:type="dxa" w:w="3178"/>
            <w:vAlign w:val="center"/>
          </w:tcPr>
          <w:p>
            <w:pPr>
              <w:spacing w:after="20" w:before="20"/>
              <w:ind w:firstLine="0"/>
              <w:jc w:val="left"/>
            </w:pPr>
            <w:r>
              <w:rPr>
                <w:rFonts w:ascii="Times New Roman" w:hAnsi="Times New Roman" w:eastAsia="Times New Roman"/>
                <w:b w:val="0"/>
                <w:i w:val="0"/>
                <w:sz w:val="18"/>
              </w:rPr>
              <w:t>Invalid/unknown parameter</w:t>
            </w:r>
          </w:p>
        </w:tc>
        <w:tc>
          <w:tcPr>
            <w:tcW w:type="dxa" w:w="5449"/>
            <w:vAlign w:val="center"/>
          </w:tcPr>
          <w:p>
            <w:pPr>
              <w:spacing w:after="20" w:before="20"/>
              <w:ind w:firstLine="0"/>
              <w:jc w:val="left"/>
            </w:pPr>
            <w:r>
              <w:rPr>
                <w:rFonts w:ascii="Courier New" w:hAnsi="Courier New" w:eastAsia="Courier New"/>
                <w:b w:val="0"/>
                <w:i w:val="0"/>
                <w:sz w:val="17"/>
              </w:rPr>
              <w:t>400 / invalid_request</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T-17</w:t>
            </w:r>
          </w:p>
        </w:tc>
        <w:tc>
          <w:tcPr>
            <w:tcW w:type="dxa" w:w="3178"/>
            <w:vAlign w:val="center"/>
          </w:tcPr>
          <w:p>
            <w:pPr>
              <w:spacing w:after="20" w:before="20"/>
              <w:ind w:firstLine="0"/>
              <w:jc w:val="left"/>
            </w:pPr>
            <w:r>
              <w:rPr>
                <w:rFonts w:ascii="Times New Roman" w:hAnsi="Times New Roman" w:eastAsia="Times New Roman"/>
                <w:b w:val="0"/>
                <w:i w:val="0"/>
                <w:sz w:val="18"/>
              </w:rPr>
              <w:t>Result limit exceeded</w:t>
            </w:r>
          </w:p>
        </w:tc>
        <w:tc>
          <w:tcPr>
            <w:tcW w:type="dxa" w:w="5449"/>
            <w:vAlign w:val="center"/>
          </w:tcPr>
          <w:p>
            <w:pPr>
              <w:spacing w:after="20" w:before="20"/>
              <w:ind w:firstLine="0"/>
              <w:jc w:val="left"/>
            </w:pPr>
            <w:r>
              <w:rPr>
                <w:rFonts w:ascii="Courier New" w:hAnsi="Courier New" w:eastAsia="Courier New"/>
                <w:b w:val="0"/>
                <w:i w:val="0"/>
                <w:sz w:val="17"/>
              </w:rPr>
              <w:t>400 / result_limit_exceeded, without silent truncation</w:t>
            </w:r>
            <w:r>
              <w:rPr>
                <w:rFonts w:ascii="Times New Roman" w:hAnsi="Times New Roman" w:eastAsia="Times New Roman"/>
                <w:b w:val="0"/>
                <w:i w:val="0"/>
                <w:sz w:val="18"/>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T-18</w:t>
            </w:r>
          </w:p>
        </w:tc>
        <w:tc>
          <w:tcPr>
            <w:tcW w:type="dxa" w:w="3178"/>
            <w:vAlign w:val="center"/>
          </w:tcPr>
          <w:p>
            <w:pPr>
              <w:spacing w:after="20" w:before="20"/>
              <w:ind w:firstLine="0"/>
              <w:jc w:val="left"/>
            </w:pPr>
            <w:r>
              <w:rPr>
                <w:rFonts w:ascii="Times New Roman" w:hAnsi="Times New Roman" w:eastAsia="Times New Roman"/>
                <w:b w:val="0"/>
                <w:i w:val="0"/>
                <w:sz w:val="18"/>
              </w:rPr>
              <w:t>Corporate Data Source unavailable</w:t>
            </w:r>
          </w:p>
        </w:tc>
        <w:tc>
          <w:tcPr>
            <w:tcW w:type="dxa" w:w="5449"/>
            <w:vAlign w:val="center"/>
          </w:tcPr>
          <w:p>
            <w:pPr>
              <w:spacing w:after="20" w:before="20"/>
              <w:ind w:firstLine="0"/>
              <w:jc w:val="left"/>
            </w:pPr>
            <w:r>
              <w:rPr>
                <w:rFonts w:ascii="Courier New" w:hAnsi="Courier New" w:eastAsia="Courier New"/>
                <w:b w:val="0"/>
                <w:i w:val="0"/>
                <w:sz w:val="17"/>
              </w:rPr>
              <w:t>503 / corporate_data_source_unavailable</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T-19</w:t>
            </w:r>
          </w:p>
        </w:tc>
        <w:tc>
          <w:tcPr>
            <w:tcW w:type="dxa" w:w="3178"/>
            <w:vAlign w:val="center"/>
          </w:tcPr>
          <w:p>
            <w:pPr>
              <w:spacing w:after="20" w:before="20"/>
              <w:ind w:firstLine="0"/>
              <w:jc w:val="left"/>
            </w:pPr>
            <w:r>
              <w:rPr>
                <w:rFonts w:ascii="Times New Roman" w:hAnsi="Times New Roman" w:eastAsia="Times New Roman"/>
                <w:b w:val="0"/>
                <w:i w:val="0"/>
                <w:sz w:val="18"/>
              </w:rPr>
              <w:t>Platform Store unavailable</w:t>
            </w:r>
          </w:p>
        </w:tc>
        <w:tc>
          <w:tcPr>
            <w:tcW w:type="dxa" w:w="5449"/>
            <w:vAlign w:val="center"/>
          </w:tcPr>
          <w:p>
            <w:pPr>
              <w:spacing w:after="20" w:before="20"/>
              <w:ind w:firstLine="0"/>
              <w:jc w:val="left"/>
            </w:pPr>
            <w:r>
              <w:rPr>
                <w:rFonts w:ascii="Courier New" w:hAnsi="Courier New" w:eastAsia="Courier New"/>
                <w:b w:val="0"/>
                <w:i w:val="0"/>
                <w:sz w:val="17"/>
              </w:rPr>
              <w:t>503 / platform_store_unavailable</w:t>
            </w:r>
            <w:r>
              <w:rPr>
                <w:rFonts w:ascii="Times New Roman" w:hAnsi="Times New Roman" w:eastAsia="Times New Roman"/>
                <w:b w:val="0"/>
                <w:i w:val="0"/>
                <w:sz w:val="18"/>
              </w:rPr>
              <w:t>, fail closed</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T-20</w:t>
            </w:r>
          </w:p>
        </w:tc>
        <w:tc>
          <w:tcPr>
            <w:tcW w:type="dxa" w:w="3178"/>
            <w:vAlign w:val="center"/>
          </w:tcPr>
          <w:p>
            <w:pPr>
              <w:spacing w:after="20" w:before="20"/>
              <w:ind w:firstLine="0"/>
              <w:jc w:val="left"/>
            </w:pPr>
            <w:r>
              <w:rPr>
                <w:rFonts w:ascii="Times New Roman" w:hAnsi="Times New Roman" w:eastAsia="Times New Roman"/>
                <w:b w:val="0"/>
                <w:i w:val="0"/>
                <w:sz w:val="18"/>
              </w:rPr>
              <w:t>Audit write failure</w:t>
            </w:r>
          </w:p>
        </w:tc>
        <w:tc>
          <w:tcPr>
            <w:tcW w:type="dxa" w:w="5449"/>
            <w:vAlign w:val="center"/>
          </w:tcPr>
          <w:p>
            <w:pPr>
              <w:spacing w:after="20" w:before="20"/>
              <w:ind w:firstLine="0"/>
              <w:jc w:val="left"/>
            </w:pPr>
            <w:r>
              <w:rPr>
                <w:rFonts w:ascii="Courier New" w:hAnsi="Courier New" w:eastAsia="Courier New"/>
                <w:b w:val="0"/>
                <w:i w:val="0"/>
                <w:sz w:val="17"/>
              </w:rPr>
              <w:t>503 / audit_write_failed; protected result is not released</w:t>
            </w:r>
            <w:r>
              <w:rPr>
                <w:rFonts w:ascii="Times New Roman" w:hAnsi="Times New Roman" w:eastAsia="Times New Roman"/>
                <w:b w:val="0"/>
                <w:i w:val="0"/>
                <w:sz w:val="18"/>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T-21</w:t>
            </w:r>
          </w:p>
        </w:tc>
        <w:tc>
          <w:tcPr>
            <w:tcW w:type="dxa" w:w="3178"/>
            <w:vAlign w:val="center"/>
          </w:tcPr>
          <w:p>
            <w:pPr>
              <w:spacing w:after="20" w:before="20"/>
              <w:ind w:firstLine="0"/>
              <w:jc w:val="left"/>
            </w:pPr>
            <w:r>
              <w:rPr>
                <w:rFonts w:ascii="Times New Roman" w:hAnsi="Times New Roman" w:eastAsia="Times New Roman"/>
                <w:b w:val="0"/>
                <w:i w:val="0"/>
                <w:sz w:val="18"/>
              </w:rPr>
              <w:t>Malformed mandatory policy/config</w:t>
            </w:r>
          </w:p>
        </w:tc>
        <w:tc>
          <w:tcPr>
            <w:tcW w:type="dxa" w:w="5449"/>
            <w:vAlign w:val="center"/>
          </w:tcPr>
          <w:p>
            <w:pPr>
              <w:spacing w:after="20" w:before="20"/>
              <w:ind w:firstLine="0"/>
              <w:jc w:val="left"/>
            </w:pPr>
            <w:r>
              <w:rPr>
                <w:rFonts w:ascii="Courier New" w:hAnsi="Courier New" w:eastAsia="Courier New"/>
                <w:b w:val="0"/>
                <w:i w:val="0"/>
                <w:sz w:val="17"/>
              </w:rPr>
              <w:t>500 / internal_error, fail closed, no sensitive internals</w:t>
            </w:r>
            <w:r>
              <w:rPr>
                <w:rFonts w:ascii="Times New Roman" w:hAnsi="Times New Roman" w:eastAsia="Times New Roman"/>
                <w:b w:val="0"/>
                <w:i w:val="0"/>
                <w:sz w:val="18"/>
              </w:rPr>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T-22</w:t>
            </w:r>
          </w:p>
        </w:tc>
        <w:tc>
          <w:tcPr>
            <w:tcW w:type="dxa" w:w="3178"/>
            <w:vAlign w:val="center"/>
          </w:tcPr>
          <w:p>
            <w:pPr>
              <w:spacing w:after="20" w:before="20"/>
              <w:ind w:firstLine="0"/>
              <w:jc w:val="left"/>
            </w:pPr>
            <w:r>
              <w:rPr>
                <w:rFonts w:ascii="Times New Roman" w:hAnsi="Times New Roman" w:eastAsia="Times New Roman"/>
                <w:b w:val="0"/>
                <w:i w:val="0"/>
                <w:sz w:val="18"/>
              </w:rPr>
              <w:t>SQL injection/arbitrary SQL attempt</w:t>
            </w:r>
          </w:p>
        </w:tc>
        <w:tc>
          <w:tcPr>
            <w:tcW w:type="dxa" w:w="5449"/>
            <w:vAlign w:val="center"/>
          </w:tcPr>
          <w:p>
            <w:pPr>
              <w:spacing w:after="20" w:before="20"/>
              <w:ind w:firstLine="0"/>
              <w:jc w:val="left"/>
            </w:pPr>
            <w:r>
              <w:rPr>
                <w:rFonts w:ascii="Times New Roman" w:hAnsi="Times New Roman" w:eastAsia="Times New Roman"/>
                <w:b w:val="0"/>
                <w:i w:val="0"/>
                <w:sz w:val="18"/>
              </w:rPr>
              <w:t>the string is not executed and does not change query structure/access</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T-23</w:t>
            </w:r>
          </w:p>
        </w:tc>
        <w:tc>
          <w:tcPr>
            <w:tcW w:type="dxa" w:w="3178"/>
            <w:vAlign w:val="center"/>
          </w:tcPr>
          <w:p>
            <w:pPr>
              <w:spacing w:after="20" w:before="20"/>
              <w:ind w:firstLine="0"/>
              <w:jc w:val="left"/>
            </w:pPr>
            <w:r>
              <w:rPr>
                <w:rFonts w:ascii="Times New Roman" w:hAnsi="Times New Roman" w:eastAsia="Times New Roman"/>
                <w:b w:val="0"/>
                <w:i w:val="0"/>
                <w:sz w:val="18"/>
              </w:rPr>
              <w:t>Audit content</w:t>
            </w:r>
          </w:p>
        </w:tc>
        <w:tc>
          <w:tcPr>
            <w:tcW w:type="dxa" w:w="5449"/>
            <w:vAlign w:val="center"/>
          </w:tcPr>
          <w:p>
            <w:pPr>
              <w:spacing w:after="20" w:before="20"/>
              <w:ind w:firstLine="0"/>
              <w:jc w:val="left"/>
            </w:pPr>
            <w:r>
              <w:rPr>
                <w:rFonts w:ascii="Times New Roman" w:hAnsi="Times New Roman" w:eastAsia="Times New Roman"/>
                <w:b w:val="0"/>
                <w:i w:val="0"/>
                <w:sz w:val="18"/>
              </w:rPr>
              <w:t>all mandatory fields; no raw prompt/JWT/credentials/secrets/full response</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T-24</w:t>
            </w:r>
          </w:p>
        </w:tc>
        <w:tc>
          <w:tcPr>
            <w:tcW w:type="dxa" w:w="3178"/>
            <w:vAlign w:val="center"/>
          </w:tcPr>
          <w:p>
            <w:pPr>
              <w:spacing w:after="20" w:before="20"/>
              <w:ind w:firstLine="0"/>
              <w:jc w:val="left"/>
            </w:pPr>
            <w:r>
              <w:rPr>
                <w:rFonts w:ascii="Times New Roman" w:hAnsi="Times New Roman" w:eastAsia="Times New Roman"/>
                <w:b w:val="0"/>
                <w:i w:val="0"/>
                <w:sz w:val="18"/>
              </w:rPr>
              <w:t>Restart/persistence</w:t>
            </w:r>
          </w:p>
        </w:tc>
        <w:tc>
          <w:tcPr>
            <w:tcW w:type="dxa" w:w="5449"/>
            <w:vAlign w:val="center"/>
          </w:tcPr>
          <w:p>
            <w:pPr>
              <w:spacing w:after="20" w:before="20"/>
              <w:ind w:firstLine="0"/>
              <w:jc w:val="left"/>
            </w:pPr>
            <w:r>
              <w:rPr>
                <w:rFonts w:ascii="Times New Roman" w:hAnsi="Times New Roman" w:eastAsia="Times New Roman"/>
                <w:b w:val="0"/>
                <w:i w:val="0"/>
                <w:sz w:val="18"/>
              </w:rPr>
              <w:t>required state persists</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T-25</w:t>
            </w:r>
          </w:p>
        </w:tc>
        <w:tc>
          <w:tcPr>
            <w:tcW w:type="dxa" w:w="3178"/>
            <w:vAlign w:val="center"/>
          </w:tcPr>
          <w:p>
            <w:pPr>
              <w:spacing w:after="20" w:before="20"/>
              <w:ind w:firstLine="0"/>
              <w:jc w:val="left"/>
            </w:pPr>
            <w:r>
              <w:rPr>
                <w:rFonts w:ascii="Times New Roman" w:hAnsi="Times New Roman" w:eastAsia="Times New Roman"/>
                <w:b w:val="0"/>
                <w:i w:val="0"/>
                <w:sz w:val="18"/>
              </w:rPr>
              <w:t>Bootstrap idempotence</w:t>
            </w:r>
          </w:p>
        </w:tc>
        <w:tc>
          <w:tcPr>
            <w:tcW w:type="dxa" w:w="5449"/>
            <w:vAlign w:val="center"/>
          </w:tcPr>
          <w:p>
            <w:pPr>
              <w:spacing w:after="20" w:before="20"/>
              <w:ind w:firstLine="0"/>
              <w:jc w:val="left"/>
            </w:pPr>
            <w:r>
              <w:rPr>
                <w:rFonts w:ascii="Times New Roman" w:hAnsi="Times New Roman" w:eastAsia="Times New Roman"/>
                <w:b w:val="0"/>
                <w:i w:val="0"/>
                <w:sz w:val="18"/>
              </w:rPr>
              <w:t>no duplicates/privilege escalation; desired state is reached</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T-26</w:t>
            </w:r>
          </w:p>
        </w:tc>
        <w:tc>
          <w:tcPr>
            <w:tcW w:type="dxa" w:w="3178"/>
            <w:vAlign w:val="center"/>
          </w:tcPr>
          <w:p>
            <w:pPr>
              <w:spacing w:after="20" w:before="20"/>
              <w:ind w:firstLine="0"/>
              <w:jc w:val="left"/>
            </w:pPr>
            <w:r>
              <w:rPr>
                <w:rFonts w:ascii="Times New Roman" w:hAnsi="Times New Roman" w:eastAsia="Times New Roman"/>
                <w:b w:val="0"/>
                <w:i w:val="0"/>
                <w:sz w:val="18"/>
              </w:rPr>
              <w:t>Reproducibility</w:t>
            </w:r>
          </w:p>
        </w:tc>
        <w:tc>
          <w:tcPr>
            <w:tcW w:type="dxa" w:w="5449"/>
            <w:vAlign w:val="center"/>
          </w:tcPr>
          <w:p>
            <w:pPr>
              <w:spacing w:after="20" w:before="20"/>
              <w:ind w:firstLine="0"/>
              <w:jc w:val="left"/>
            </w:pPr>
            <w:r>
              <w:rPr>
                <w:rFonts w:ascii="Times New Roman" w:hAnsi="Times New Roman" w:eastAsia="Times New Roman"/>
                <w:b w:val="0"/>
                <w:i w:val="0"/>
                <w:sz w:val="18"/>
              </w:rPr>
              <w:t>documented startup reproduces the demo environment</w:t>
            </w:r>
          </w:p>
        </w:tc>
      </w:tr>
      <w:tr>
        <w:trPr>
          <w:cantSplit/>
        </w:trPr>
        <w:tc>
          <w:tcPr>
            <w:tcW w:type="dxa" w:w="1008"/>
            <w:vAlign w:val="center"/>
          </w:tcPr>
          <w:p>
            <w:pPr>
              <w:spacing w:after="20" w:before="20"/>
              <w:ind w:firstLine="0"/>
              <w:jc w:val="left"/>
            </w:pPr>
            <w:r>
              <w:rPr>
                <w:rFonts w:ascii="Times New Roman" w:hAnsi="Times New Roman" w:eastAsia="Times New Roman"/>
                <w:b w:val="0"/>
                <w:i w:val="0"/>
                <w:sz w:val="18"/>
              </w:rPr>
              <w:t>T-27</w:t>
            </w:r>
          </w:p>
        </w:tc>
        <w:tc>
          <w:tcPr>
            <w:tcW w:type="dxa" w:w="3178"/>
            <w:vAlign w:val="center"/>
          </w:tcPr>
          <w:p>
            <w:pPr>
              <w:spacing w:after="20" w:before="20"/>
              <w:ind w:firstLine="0"/>
              <w:jc w:val="left"/>
            </w:pPr>
            <w:r>
              <w:rPr>
                <w:rFonts w:ascii="Times New Roman" w:hAnsi="Times New Roman" w:eastAsia="Times New Roman"/>
                <w:b w:val="0"/>
                <w:i w:val="0"/>
                <w:sz w:val="18"/>
              </w:rPr>
              <w:t>End-to-end smoke</w:t>
            </w:r>
          </w:p>
        </w:tc>
        <w:tc>
          <w:tcPr>
            <w:tcW w:type="dxa" w:w="5449"/>
            <w:vAlign w:val="center"/>
          </w:tcPr>
          <w:p>
            <w:pPr>
              <w:spacing w:after="20" w:before="20"/>
              <w:ind w:firstLine="0"/>
              <w:jc w:val="left"/>
            </w:pPr>
            <w:r>
              <w:rPr>
                <w:rFonts w:ascii="Times New Roman" w:hAnsi="Times New Roman" w:eastAsia="Times New Roman"/>
                <w:b w:val="0"/>
                <w:i w:val="0"/>
                <w:sz w:val="18"/>
              </w:rPr>
              <w:t>startup → authentication → ALLOW → DENY → audit</w:t>
            </w:r>
          </w:p>
        </w:tc>
      </w:tr>
    </w:tbl>
    <w:p>
      <w:pPr>
        <w:spacing w:after="20"/>
        <w:ind w:firstLine="0"/>
      </w:pPr>
    </w:p>
    <w:p>
      <w:r>
        <w:rPr>
          <w:rFonts w:ascii="Times New Roman" w:hAnsi="Times New Roman" w:eastAsia="Times New Roman"/>
          <w:b w:val="0"/>
          <w:i w:val="0"/>
          <w:sz w:val="24"/>
        </w:rPr>
        <w:t>Acceptance-suite criterion: 100% of mandatory T-01-T-27 must pass. This does not mean 100% code coverage.</w:t>
      </w:r>
      <w:r>
        <w:rPr>
          <w:rFonts w:ascii="Times New Roman" w:hAnsi="Times New Roman" w:eastAsia="Times New Roman"/>
          <w:b/>
          <w:i w:val="0"/>
          <w:sz w:val="24"/>
        </w:rPr>
      </w:r>
      <w:r>
        <w:rPr>
          <w:rFonts w:ascii="Times New Roman" w:hAnsi="Times New Roman" w:eastAsia="Times New Roman"/>
          <w:b w:val="0"/>
          <w:i w:val="0"/>
          <w:sz w:val="24"/>
        </w:rPr>
      </w:r>
    </w:p>
    <w:p>
      <w:r>
        <w:br w:type="page"/>
      </w:r>
    </w:p>
    <w:p>
      <w:pPr>
        <w:pStyle w:val="PZHeading1"/>
        <w:ind w:firstLine="0"/>
      </w:pPr>
      <w:r>
        <w:rPr>
          <w:rFonts w:ascii="Times New Roman" w:hAnsi="Times New Roman" w:eastAsia="Times New Roman"/>
          <w:b/>
          <w:i w:val="0"/>
          <w:sz w:val="30"/>
        </w:rPr>
        <w:t>Appendix H. Continuity rule after Preliminary Design</w:t>
      </w:r>
    </w:p>
    <w:p>
      <w:r>
        <w:rPr>
          <w:rFonts w:ascii="Times New Roman" w:hAnsi="Times New Roman" w:eastAsia="Times New Roman"/>
          <w:b/>
          <w:i w:val="0"/>
          <w:sz w:val="24"/>
        </w:rPr>
        <w:t>Appendix status: project organizational/engineering rule.</w:t>
      </w:r>
      <w:r>
        <w:rPr>
          <w:rFonts w:ascii="Times New Roman" w:hAnsi="Times New Roman" w:eastAsia="Times New Roman"/>
          <w:b w:val="0"/>
          <w:i w:val="0"/>
          <w:sz w:val="24"/>
        </w:rPr>
      </w:r>
    </w:p>
    <w:p>
      <w:r>
        <w:rPr>
          <w:rFonts w:ascii="Times New Roman" w:hAnsi="Times New Roman" w:eastAsia="Times New Roman"/>
          <w:b w:val="0"/>
          <w:i w:val="0"/>
          <w:sz w:val="24"/>
        </w:rPr>
        <w:t>After the Explanatory Note is approved, implementation does not begin by redesigning components that have already been considered.</w:t>
      </w:r>
    </w:p>
    <w:p>
      <w:r>
        <w:rPr>
          <w:rFonts w:ascii="Times New Roman" w:hAnsi="Times New Roman" w:eastAsia="Times New Roman"/>
          <w:b w:val="0"/>
          <w:i w:val="0"/>
          <w:sz w:val="24"/>
        </w:rPr>
        <w:t>For each specific artifact, the following sequence is used:</w:t>
      </w:r>
    </w:p>
    <w:p>
      <w:pPr>
        <w:pStyle w:val="PZCode"/>
        <w:ind w:left="170" w:right="113" w:firstLine="0"/>
        <w:shd w:fill="F2F2F2"/>
      </w:pPr>
      <w:r>
        <w:rPr>
          <w:rFonts w:ascii="Courier New" w:hAnsi="Courier New" w:eastAsia="Courier New"/>
          <w:sz w:val="17"/>
        </w:rPr>
        <w:t>previously proposed candidate</w:t>
        <w:br/>
        <w:t xml:space="preserve">        ↓</w:t>
        <w:br/>
        <w:t>check against the Technical Requirements and main body of the Explanatory Note</w:t>
        <w:br/>
        <w:t xml:space="preserve">        ↓</w:t>
        <w:br/>
        <w:t>accept unchanged</w:t>
        <w:br/>
        <w:t xml:space="preserve">        OR</w:t>
        <w:br/>
        <w:t>change with a recorded reason</w:t>
        <w:br/>
        <w:t xml:space="preserve">        OR</w:t>
        <w:br/>
        <w:t>reject with a recorded reason</w:t>
        <w:br/>
        <w:t xml:space="preserve">        ↓</w:t>
        <w:br/>
        <w:t>implementation</w:t>
        <w:br/>
        <w:t xml:space="preserve">        ↓</w:t>
        <w:br/>
        <w:t>acceptance tests</w:t>
      </w:r>
    </w:p>
    <w:p>
      <w:r>
        <w:rPr>
          <w:rFonts w:ascii="Times New Roman" w:hAnsi="Times New Roman" w:eastAsia="Times New Roman"/>
          <w:b w:val="0"/>
          <w:i w:val="0"/>
          <w:sz w:val="24"/>
        </w:rPr>
        <w:t>Thus, the appendices serve as the technical memory of the Preliminary Design. They preserve work already completed without turning draft code into an implicit normative requirement.</w:t>
      </w:r>
    </w:p>
    <w:p>
      <w:r>
        <w:rPr>
          <w:rFonts w:ascii="Times New Roman" w:hAnsi="Times New Roman" w:eastAsia="Times New Roman"/>
          <w:b w:val="0"/>
          <w:i w:val="0"/>
          <w:sz w:val="24"/>
        </w:rPr>
        <w:t>This document does not predetermine a separate Technical Design Explanatory Note. The next stage and its composition are decided separately after v0.1 is completed and evaluated in accordance with the approved Technical Requirements.</w:t>
      </w:r>
      <w:r>
        <w:rPr>
          <w:rFonts w:ascii="Times New Roman" w:hAnsi="Times New Roman" w:eastAsia="Times New Roman"/>
          <w:b/>
          <w:i w:val="0"/>
          <w:sz w:val="24"/>
        </w:rPr>
      </w:r>
      <w:r>
        <w:rPr>
          <w:rFonts w:ascii="Times New Roman" w:hAnsi="Times New Roman" w:eastAsia="Times New Roman"/>
          <w:b w:val="0"/>
          <w:i w:val="0"/>
          <w:sz w:val="24"/>
        </w:rPr>
      </w:r>
    </w:p>
    <w:p>
      <w:r>
        <w:br w:type="page"/>
      </w:r>
    </w:p>
    <w:p>
      <w:pPr>
        <w:pStyle w:val="PZHeading1"/>
        <w:ind w:firstLine="0"/>
      </w:pPr>
      <w:r>
        <w:rPr>
          <w:rFonts w:ascii="Times New Roman" w:hAnsi="Times New Roman" w:eastAsia="Times New Roman"/>
          <w:b/>
          <w:i w:val="0"/>
          <w:sz w:val="30"/>
        </w:rPr>
        <w:t>Document release block</w:t>
      </w:r>
    </w:p>
    <w:p>
      <w:r>
        <w:rPr>
          <w:rFonts w:ascii="Times New Roman" w:hAnsi="Times New Roman" w:eastAsia="Times New Roman"/>
          <w:b/>
          <w:i w:val="0"/>
          <w:sz w:val="24"/>
        </w:rPr>
        <w:t>Document: Perimeter Data Gateway - Preliminary Design Explanatory Note v0.1</w:t>
        <w:br/>
        <w:t>Revision: final, 28 Aug 2026</w:t>
        <w:br/>
        <w:t>Author: Andrii Nikolaiev</w:t>
        <w:br/>
        <w:t>Engineering text preparation and consolidation: ChatGPT using results of multi-model technical review</w:t>
        <w:br/>
        <w:t>Normative basis: approved PDG v0.1 Technical Requirements; GOST 19.404-79</w:t>
        <w:br/>
        <w:t>Status: issued for approval by the author</w:t>
      </w:r>
      <w:r>
        <w:rPr>
          <w:rFonts w:ascii="Times New Roman" w:hAnsi="Times New Roman" w:eastAsia="Times New Roman"/>
          <w:b w:val="0"/>
          <w:i w:val="0"/>
          <w:sz w:val="24"/>
        </w:rPr>
      </w:r>
      <w:r/>
      <w:r>
        <w:rPr>
          <w:rFonts w:ascii="Times New Roman" w:hAnsi="Times New Roman" w:eastAsia="Times New Roman"/>
          <w:b/>
          <w:i w:val="0"/>
          <w:sz w:val="24"/>
        </w:rPr>
      </w:r>
      <w:r>
        <w:rPr>
          <w:rFonts w:ascii="Times New Roman" w:hAnsi="Times New Roman" w:eastAsia="Times New Roman"/>
          <w:b w:val="0"/>
          <w:i w:val="0"/>
          <w:sz w:val="24"/>
        </w:rPr>
      </w:r>
      <w:r/>
      <w:r>
        <w:rPr>
          <w:rFonts w:ascii="Times New Roman" w:hAnsi="Times New Roman" w:eastAsia="Times New Roman"/>
          <w:b/>
          <w:i w:val="0"/>
          <w:sz w:val="24"/>
        </w:rPr>
      </w:r>
      <w:r>
        <w:rPr>
          <w:rFonts w:ascii="Times New Roman" w:hAnsi="Times New Roman" w:eastAsia="Times New Roman"/>
          <w:b w:val="0"/>
          <w:i w:val="0"/>
          <w:sz w:val="24"/>
        </w:rPr>
      </w:r>
      <w:r/>
      <w:r>
        <w:rPr>
          <w:rFonts w:ascii="Times New Roman" w:hAnsi="Times New Roman" w:eastAsia="Times New Roman"/>
          <w:b/>
          <w:i w:val="0"/>
          <w:sz w:val="24"/>
        </w:rPr>
      </w:r>
      <w:r>
        <w:rPr>
          <w:rFonts w:ascii="Times New Roman" w:hAnsi="Times New Roman" w:eastAsia="Times New Roman"/>
          <w:b w:val="0"/>
          <w:i w:val="0"/>
          <w:sz w:val="24"/>
        </w:rPr>
      </w:r>
      <w:r/>
      <w:r>
        <w:rPr>
          <w:rFonts w:ascii="Times New Roman" w:hAnsi="Times New Roman" w:eastAsia="Times New Roman"/>
          <w:b/>
          <w:i w:val="0"/>
          <w:sz w:val="24"/>
        </w:rPr>
      </w:r>
      <w:r>
        <w:rPr>
          <w:rFonts w:ascii="Times New Roman" w:hAnsi="Times New Roman" w:eastAsia="Times New Roman"/>
          <w:b w:val="0"/>
          <w:i w:val="0"/>
          <w:sz w:val="24"/>
        </w:rPr>
      </w:r>
      <w:r/>
      <w:r>
        <w:rPr>
          <w:rFonts w:ascii="Times New Roman" w:hAnsi="Times New Roman" w:eastAsia="Times New Roman"/>
          <w:b/>
          <w:i w:val="0"/>
          <w:sz w:val="24"/>
        </w:rPr>
      </w:r>
      <w:r>
        <w:rPr>
          <w:rFonts w:ascii="Times New Roman" w:hAnsi="Times New Roman" w:eastAsia="Times New Roman"/>
          <w:b w:val="0"/>
          <w:i w:val="0"/>
          <w:sz w:val="24"/>
        </w:rPr>
      </w:r>
    </w:p>
    <w:p>
      <w:r>
        <w:rPr>
          <w:rFonts w:ascii="Times New Roman" w:hAnsi="Times New Roman" w:eastAsia="Times New Roman"/>
          <w:b w:val="0"/>
          <w:i w:val="0"/>
          <w:sz w:val="24"/>
        </w:rPr>
        <w:t>The formal status "Approved" must appear in this file only after a decision by the approving person.</w:t>
      </w:r>
    </w:p>
    <w:sectPr w:rsidR="00FC693F" w:rsidRPr="0006063C" w:rsidSect="00034616">
      <w:headerReference w:type="default" r:id="rId9"/>
      <w:footerReference w:type="default" r:id="rId10"/>
      <w:headerReference w:type="first" r:id="rId17"/>
      <w:footerReference w:type="first" r:id="rId18"/>
      <w:pgSz w:w="11906" w:h="16838"/>
      <w:pgMar w:top="1134" w:right="850" w:bottom="1134" w:left="1417" w:header="45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7"/>
      </w:rPr>
      <w:t>Perimeter Data Gateway (PDG) - Preliminary Design Explanatory Note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ZHeading1">
    <w:name w:val="PZ Heading 1"/>
    <w:pPr>
      <w:keepNext/>
      <w:spacing w:before="240" w:after="140" w:line="264" w:lineRule="auto"/>
      <w:ind w:firstLine="0"/>
    </w:pPr>
    <w:rPr>
      <w:rFonts w:ascii="Times New Roman" w:hAnsi="Times New Roman" w:eastAsia="Times New Roman"/>
      <w:b/>
      <w:sz w:val="30"/>
    </w:rPr>
  </w:style>
  <w:style w:type="paragraph" w:customStyle="1" w:styleId="PZHeading2">
    <w:name w:val="PZ Heading 2"/>
    <w:pPr>
      <w:keepNext/>
      <w:spacing w:before="180" w:after="100" w:line="264" w:lineRule="auto"/>
      <w:ind w:firstLine="0"/>
    </w:pPr>
    <w:rPr>
      <w:rFonts w:ascii="Times New Roman" w:hAnsi="Times New Roman" w:eastAsia="Times New Roman"/>
      <w:b/>
      <w:sz w:val="26"/>
    </w:rPr>
  </w:style>
  <w:style w:type="paragraph" w:customStyle="1" w:styleId="PZHeading3">
    <w:name w:val="PZ Heading 3"/>
    <w:pPr>
      <w:keepNext/>
      <w:spacing w:before="140" w:after="80" w:line="264" w:lineRule="auto"/>
      <w:ind w:firstLine="0"/>
    </w:pPr>
    <w:rPr>
      <w:rFonts w:ascii="Times New Roman" w:hAnsi="Times New Roman" w:eastAsia="Times New Roman"/>
      <w:b/>
      <w:sz w:val="24"/>
    </w:rPr>
  </w:style>
  <w:style w:type="paragraph" w:customStyle="1" w:styleId="PZCaption">
    <w:name w:val="PZ Caption"/>
    <w:pPr>
      <w:spacing w:before="100" w:after="140" w:line="264" w:lineRule="auto"/>
      <w:ind w:firstLine="0"/>
    </w:pPr>
    <w:rPr>
      <w:rFonts w:ascii="Times New Roman" w:hAnsi="Times New Roman" w:eastAsia="Times New Roman"/>
      <w:b/>
      <w:sz w:val="21"/>
    </w:rPr>
  </w:style>
  <w:style w:type="paragraph" w:customStyle="1" w:styleId="PZCode">
    <w:name w:val="PZ Code"/>
    <w:pPr>
      <w:spacing w:before="60" w:after="100" w:line="252" w:lineRule="auto"/>
      <w:ind w:firstLine="0"/>
    </w:pPr>
    <w:rPr>
      <w:rFonts w:ascii="Courier New" w:hAnsi="Courier New" w:eastAsia="Courier New"/>
      <w:b w:val="0"/>
      <w:sz w:val="17"/>
    </w:rPr>
  </w:style>
  <w:style w:type="paragraph" w:customStyle="1" w:styleId="PZQuote">
    <w:name w:val="PZ Quote"/>
    <w:pPr>
      <w:spacing w:before="80" w:after="120" w:line="264" w:lineRule="auto"/>
      <w:ind w:firstLine="0"/>
    </w:pPr>
    <w:rPr>
      <w:rFonts w:ascii="Times New Roman" w:hAnsi="Times New Roman" w:eastAsia="Times New Roman"/>
      <w:b w:val="0"/>
      <w:sz w:val="21"/>
    </w:rPr>
  </w:style>
  <w:style w:type="paragraph" w:customStyle="1" w:styleId="PZList">
    <w:name w:val="PZ List"/>
    <w:pPr>
      <w:spacing w:before="0" w:after="40" w:line="264" w:lineRule="auto"/>
      <w:ind w:firstLine="0"/>
    </w:pPr>
    <w:rPr>
      <w:rFonts w:ascii="Times New Roman" w:hAnsi="Times New Roman" w:eastAsia="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Perimeter Data Gateway - Preliminary Design Explanatory Note v0.1</dc:title>
  <dc:subject>Эскизный проект / Prototype / Proof of Feasibility</dc:subject>
  <dc:creator>Andrii Nikolaiev</dc:creator>
  <cp:keywords/>
  <dc:description>generated by python-docx</dc:description>
  <cp:lastModifiedBy/>
  <cp:revision>1</cp:revision>
  <dcterms:created xsi:type="dcterms:W3CDTF">2013-12-23T23:15:00Z</dcterms:created>
  <dcterms:modified xsi:type="dcterms:W3CDTF">2013-12-23T23:15:00Z</dcterms:modified>
  <cp:category/>
</cp:coreProperties>
</file>