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Датасет NSL-KDD є вдосконаленою версією класичного датасету KDD’99 та усуває його основні недоліки. NSL-KDD містить набір статистичних та поведінкових ознак мережевого трафіку та широко застосовується у наукових дослідженнях у сфері інформаційної безпеки.</w:t>
      </w:r>
    </w:p>
    <w:p w:rsidR="00000000" w:rsidDel="00000000" w:rsidP="00000000" w:rsidRDefault="00000000" w:rsidRPr="00000000" w14:paraId="00000003">
      <w:pPr>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Вхідні величини:</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Error rate (Частота помилок або частота SYN-помилок) (serror_rate - характеризує частку з’єднань, що завершилися з помилкою типу SYN error, серед усіх з’єднань до одного й того ж хоста протягом заданого інтервалу часу). Тобто, цей показник відображає інтенсивність невдалих або підозрілих спроб встановлення TCP-з’єднання. Високе значення параметру serror_rate свідчить про аномальну мережеву активність, зокрема про можливі атаки. Це відносна величина (частка), де: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означає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(жодне з’єднання не мало SYN-помилок), 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означає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(абсолютно всі з’єднання зафіксовані з помилками). Описується трьома трапецоїдними функціями, що математично подається так:</w:t>
      </w:r>
    </w:p>
    <w:p w:rsidR="00000000" w:rsidDel="00000000" w:rsidP="00000000" w:rsidRDefault="00000000" w:rsidRPr="00000000" w14:paraId="00000005">
      <w:pPr>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widowControl w:val="0"/>
        <w:tabs>
          <w:tab w:val="right" w:leader="none" w:pos="5040"/>
        </w:tabs>
        <w:spacing w:after="0" w:line="360" w:lineRule="auto"/>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25" style="width:237.6pt;height:78.6pt" o:ole="" type="#_x0000_t75">
            <v:imagedata r:id="rId1" o:title=""/>
          </v:shape>
          <o:OLEObject DrawAspect="Content" r:id="rId2" ObjectID="_1851601563" ProgID="Equation.DSMT4" ShapeID="_x0000_i1025" Type="Embed"/>
        </w:pict>
      </w:r>
      <w:r w:rsidDel="00000000" w:rsidR="00000000" w:rsidRPr="00000000">
        <w:rPr>
          <w:rtl w:val="0"/>
        </w:rPr>
      </w:r>
    </w:p>
    <w:p w:rsidR="00000000" w:rsidDel="00000000" w:rsidP="00000000" w:rsidRDefault="00000000" w:rsidRPr="00000000" w14:paraId="00000007">
      <w:pPr>
        <w:widowControl w:val="0"/>
        <w:tabs>
          <w:tab w:val="right" w:leader="none" w:pos="5040"/>
        </w:tabs>
        <w:spacing w:after="0" w:line="360" w:lineRule="auto"/>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26" style="width:244.8pt;height:2in" o:ole="" type="#_x0000_t75">
            <v:imagedata r:id="rId3" o:title=""/>
          </v:shape>
          <o:OLEObject DrawAspect="Content" r:id="rId4" ObjectID="_1851601564" ProgID="Equation.DSMT4" ShapeID="_x0000_i1026" Type="Embed"/>
        </w:pict>
      </w:r>
      <w:r w:rsidDel="00000000" w:rsidR="00000000" w:rsidRPr="00000000">
        <w:rPr>
          <w:rtl w:val="0"/>
        </w:rPr>
      </w:r>
    </w:p>
    <w:p w:rsidR="00000000" w:rsidDel="00000000" w:rsidP="00000000" w:rsidRDefault="00000000" w:rsidRPr="00000000" w14:paraId="00000008">
      <w:pPr>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27" style="width:3in;height:78.6pt" o:ole="" type="#_x0000_t75">
            <v:imagedata r:id="rId5" o:title=""/>
          </v:shape>
          <o:OLEObject DrawAspect="Content" r:id="rId6" ObjectID="_1851601565" ProgID="Equation.DSMT4" ShapeID="_x0000_i1027" Type="Embed"/>
        </w:pic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Кількість з’єднань (connection count). Параметр count у датасеті NSL-KDD, який  відображає кількість з’єднань до одного й того ж хоста, зафіксованих протягом визначеного часового інтервалу, тобто характеризує інтенсивність мережевої активності щодо конкретного вузла. Підвищене значення count може свідчити про аномальну поведінку, наприклад, сканування портів або спроби здійснення атак типу DoS/DDoS, коли до цільового хоста надходить велика кількість запитів за короткий проміжок часу. Count у наборі даних NSL-KDD — це часова ознака, яка показує кількість мережевих з’єднань, спрямованих до того самого цільового хоста (IP-адреси), що й поточне з’єднання, за останні 2 секунди. Вимірюється у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штуках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(ціле позитивне число: 1, 2, 50, 511 тощо). Описується трьома трапецоїдними функціями, що математично подається так:</w:t>
      </w:r>
    </w:p>
    <w:p w:rsidR="00000000" w:rsidDel="00000000" w:rsidP="00000000" w:rsidRDefault="00000000" w:rsidRPr="00000000" w14:paraId="0000000A">
      <w:pPr>
        <w:widowControl w:val="0"/>
        <w:tabs>
          <w:tab w:val="right" w:leader="none" w:pos="5040"/>
        </w:tabs>
        <w:spacing w:after="0" w:line="360" w:lineRule="auto"/>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32" style="width:201pt;height:78.6pt" o:ole="" type="#_x0000_t75">
            <v:imagedata r:id="rId7" o:title=""/>
          </v:shape>
          <o:OLEObject DrawAspect="Content" r:id="rId8" ObjectID="_1851601566" ProgID="Equation.DSMT4" ShapeID="_x0000_i1032" Type="Embed"/>
        </w:pict>
      </w:r>
      <w:r w:rsidDel="00000000" w:rsidR="00000000" w:rsidRPr="00000000">
        <w:rPr>
          <w:rtl w:val="0"/>
        </w:rPr>
      </w:r>
    </w:p>
    <w:p w:rsidR="00000000" w:rsidDel="00000000" w:rsidP="00000000" w:rsidRDefault="00000000" w:rsidRPr="00000000" w14:paraId="0000000B">
      <w:pPr>
        <w:widowControl w:val="0"/>
        <w:tabs>
          <w:tab w:val="right" w:leader="none" w:pos="5040"/>
        </w:tabs>
        <w:spacing w:after="0" w:line="360" w:lineRule="auto"/>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33" style="width:3in;height:137.4pt" o:ole="" type="#_x0000_t75">
            <v:imagedata r:id="rId9" o:title=""/>
          </v:shape>
          <o:OLEObject DrawAspect="Content" r:id="rId10" ObjectID="_1851601567" ProgID="Equation.DSMT4" ShapeID="_x0000_i1033" Type="Embed"/>
        </w:pict>
      </w:r>
      <w:r w:rsidDel="00000000" w:rsidR="00000000" w:rsidRPr="00000000">
        <w:rPr>
          <w:rtl w:val="0"/>
        </w:rPr>
      </w:r>
    </w:p>
    <w:p w:rsidR="00000000" w:rsidDel="00000000" w:rsidP="00000000" w:rsidRDefault="00000000" w:rsidRPr="00000000" w14:paraId="0000000C">
      <w:pPr>
        <w:widowControl w:val="0"/>
        <w:spacing w:after="0" w:line="360" w:lineRule="auto"/>
        <w:ind w:firstLine="709"/>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34" style="width:209.4pt;height:78.6pt" o:ole="" type="#_x0000_t75">
            <v:imagedata r:id="rId11" o:title=""/>
          </v:shape>
          <o:OLEObject DrawAspect="Content" r:id="rId12" ObjectID="_1851601568" ProgID="Equation.DSMT4" ShapeID="_x0000_i1034" Type="Embed"/>
        </w:pic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69"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«кількість байтів»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Байти від джерела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(від англ.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source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Параметр src_bytes у датасеті NSL-KDD, який відображає кількість байтів, переданих від джерела до призначення в межах конкретного мережевого з’єднання. У наборі даних NSL-KDD — це базова ознака, яка показує кількість байтів даних, надісланих від джерела (клієнта/ініціатора з'єднання) до хоста призначення (сервера) в межах одного конкретного з'єднання. Простішими словами — це обсяг вихідного трафіку, який згенерував користувач чи атакуюча програма. Ця ознака характеризує обсяг вихідного трафіку з боку ініціатора сеансу зв’язку. Значення src_bytes дозволяє оцінити інтенсивність передавання даних та виявити аномальні шаблони поведінки. Наприклад, надмірно великі або, навпаки, аномально малі обсяги переданих байтів можуть свідчити про спроби реалізації атак типу DoS, brute-force або про нетипову активність сервісів. Параметр src_bytes  у датасеті NSL-KDD має дуже широкий діапазон значень, тому буде  застосовано його логарифмічне представлення. Одиниці виміру:</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Байти</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(ціле невід'ємне число від 0 до сотень мільйонів). Описуються трьома трапецоїдними функціями, що математично подається так:</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0"/>
        </w:tabs>
        <w:spacing w:after="0" w:before="0" w:line="360" w:lineRule="auto"/>
        <w:ind w:left="1069" w:right="0" w:firstLine="0"/>
        <w:jc w:val="center"/>
        <w:rPr>
          <w:rFonts w:ascii="Times New Roman" w:cs="Times New Roman" w:eastAsia="Times New Roman" w:hAnsi="Times New Roman"/>
          <w:b w:val="0"/>
          <w:bCs w:val="0"/>
          <w:i w:val="0"/>
          <w:iCs w:val="0"/>
          <w:smallCaps w:val="0"/>
          <w:strike w:val="0"/>
          <w:color w:val="7030a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_x0000_i1039" style="width:201pt;height:78.6pt" o:ole="" type="#_x0000_t75">
            <v:imagedata r:id="rId13" o:title=""/>
          </v:shape>
          <o:OLEObject DrawAspect="Content" r:id="rId14" ObjectID="_1851601569" ProgID="Equation.DSMT4" ShapeID="_x0000_i1039" Type="Embed"/>
        </w:pic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0"/>
        </w:tabs>
        <w:spacing w:after="0" w:before="0" w:line="360" w:lineRule="auto"/>
        <w:ind w:left="1069" w:right="0" w:firstLine="0"/>
        <w:jc w:val="center"/>
        <w:rPr>
          <w:rFonts w:ascii="Times New Roman" w:cs="Times New Roman" w:eastAsia="Times New Roman" w:hAnsi="Times New Roman"/>
          <w:b w:val="0"/>
          <w:bCs w:val="0"/>
          <w:i w:val="0"/>
          <w:iCs w:val="0"/>
          <w:smallCaps w:val="0"/>
          <w:strike w:val="0"/>
          <w:color w:val="7030a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_x0000_i1040" style="width:187.2pt;height:137.4pt" o:ole="" type="#_x0000_t75">
            <v:imagedata r:id="rId15" o:title=""/>
          </v:shape>
          <o:OLEObject DrawAspect="Content" r:id="rId16" ObjectID="_1851601570" ProgID="Equation.DSMT4" ShapeID="_x0000_i1040" Type="Embed"/>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040"/>
        </w:tabs>
        <w:spacing w:after="0" w:before="0" w:line="360" w:lineRule="auto"/>
        <w:ind w:left="1069" w:right="0" w:firstLine="0"/>
        <w:jc w:val="center"/>
        <w:rPr>
          <w:rFonts w:ascii="Times New Roman" w:cs="Times New Roman" w:eastAsia="Times New Roman" w:hAnsi="Times New Roman"/>
          <w:b w:val="0"/>
          <w:bCs w:val="0"/>
          <w:i w:val="0"/>
          <w:iCs w:val="0"/>
          <w:smallCaps w:val="0"/>
          <w:strike w:val="0"/>
          <w:color w:val="7030a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_x0000_i1041" style="width:180.6pt;height:78.6pt" o:ole="" type="#_x0000_t75">
            <v:imagedata r:id="rId17" o:title=""/>
          </v:shape>
          <o:OLEObject DrawAspect="Content" r:id="rId18" ObjectID="_1851601571" ProgID="Equation.DSMT4" ShapeID="_x0000_i1041" Type="Embed"/>
        </w:pic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Вихідна величина:</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Параметр «індекс довіри» (Trust Index) є вихідною величиною нечіткого контролера та обчислюється в діапазоні від 0 до 100. Низькі значення індексу довіри свідчать про високу ймовірність аномальної або шкідливої активності пристрою, тоді як високі значення характеризують нормальну та безпечну мережеву поведінку. Таким чином, індекс довіри виступає узагальненим показником рівня безпеки IoT-пристрою та може бути використаний для прийняття рішень щодо обмеження доступу, ізоляції вузла або продовження його нормальної роботи в мережі. Описується п’ятьма трикутними функціями, що математично подається так:</w:t>
      </w:r>
    </w:p>
    <w:p w:rsidR="00000000" w:rsidDel="00000000" w:rsidP="00000000" w:rsidRDefault="00000000" w:rsidRPr="00000000" w14:paraId="00000013">
      <w:pPr>
        <w:widowControl w:val="0"/>
        <w:tabs>
          <w:tab w:val="right" w:leader="none" w:pos="5040"/>
        </w:tabs>
        <w:spacing w:after="0" w:line="360" w:lineRule="auto"/>
        <w:ind w:firstLine="709"/>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52" style="width:187.2pt;height:78.6pt" o:ole="" type="#_x0000_t75">
            <v:imagedata r:id="rId19" o:title=""/>
          </v:shape>
          <o:OLEObject DrawAspect="Content" r:id="rId20" ObjectID="_1851601572" ProgID="Equation.DSMT4" ShapeID="_x0000_i1052" Type="Embed"/>
        </w:pict>
      </w:r>
      <w:r w:rsidDel="00000000" w:rsidR="00000000" w:rsidRPr="00000000">
        <w:rPr>
          <w:rtl w:val="0"/>
        </w:rPr>
      </w:r>
    </w:p>
    <w:p w:rsidR="00000000" w:rsidDel="00000000" w:rsidP="00000000" w:rsidRDefault="00000000" w:rsidRPr="00000000" w14:paraId="00000014">
      <w:pPr>
        <w:widowControl w:val="0"/>
        <w:tabs>
          <w:tab w:val="right" w:leader="none" w:pos="5040"/>
        </w:tabs>
        <w:spacing w:after="0" w:line="360" w:lineRule="auto"/>
        <w:ind w:firstLine="709"/>
        <w:jc w:val="center"/>
        <w:rPr>
          <w:rFonts w:ascii="Times New Roman" w:cs="Times New Roman" w:eastAsia="Times New Roman" w:hAnsi="Times New Roman"/>
          <w:b w:val="1"/>
          <w:bCs w:val="1"/>
          <w:color w:val="7030a0"/>
          <w:sz w:val="28"/>
          <w:szCs w:val="28"/>
        </w:rPr>
      </w:pPr>
      <w:bookmarkStart w:colFirst="0" w:colLast="0" w:name="_heading=h.ighgvea338io" w:id="0"/>
      <w:bookmarkEnd w:id="0"/>
      <w:r w:rsidDel="00000000" w:rsidR="00000000" w:rsidRPr="00000000">
        <w:rPr>
          <w:rFonts w:ascii="Times New Roman" w:cs="Times New Roman" w:eastAsia="Times New Roman" w:hAnsi="Times New Roman"/>
          <w:color w:val="7030a0"/>
          <w:sz w:val="46.66666666666667"/>
          <w:szCs w:val="46.66666666666667"/>
          <w:vertAlign w:val="subscript"/>
        </w:rPr>
        <w:pict>
          <v:shape id="_x0000_i1053" style="width:187.2pt;height:115.2pt" o:ole="" type="#_x0000_t75">
            <v:imagedata r:id="rId21" o:title=""/>
          </v:shape>
          <o:OLEObject DrawAspect="Content" r:id="rId22" ObjectID="_1851601573" ProgID="Equation.DSMT4" ShapeID="_x0000_i1053" Type="Embed"/>
        </w:pict>
      </w:r>
      <w:r w:rsidDel="00000000" w:rsidR="00000000" w:rsidRPr="00000000">
        <w:rPr>
          <w:rtl w:val="0"/>
        </w:rPr>
      </w:r>
    </w:p>
    <w:p w:rsidR="00000000" w:rsidDel="00000000" w:rsidP="00000000" w:rsidRDefault="00000000" w:rsidRPr="00000000" w14:paraId="00000015">
      <w:pPr>
        <w:widowControl w:val="0"/>
        <w:tabs>
          <w:tab w:val="right" w:leader="none" w:pos="5040"/>
        </w:tabs>
        <w:spacing w:after="0" w:line="360" w:lineRule="auto"/>
        <w:ind w:firstLine="709"/>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54" style="width:187.2pt;height:115.2pt" o:ole="" type="#_x0000_t75">
            <v:imagedata r:id="rId23" o:title=""/>
          </v:shape>
          <o:OLEObject DrawAspect="Content" r:id="rId24" ObjectID="_1851601574" ProgID="Equation.DSMT4" ShapeID="_x0000_i1054" Type="Embed"/>
        </w:pict>
      </w:r>
      <w:r w:rsidDel="00000000" w:rsidR="00000000" w:rsidRPr="00000000">
        <w:rPr>
          <w:rtl w:val="0"/>
        </w:rPr>
      </w:r>
    </w:p>
    <w:p w:rsidR="00000000" w:rsidDel="00000000" w:rsidP="00000000" w:rsidRDefault="00000000" w:rsidRPr="00000000" w14:paraId="00000016">
      <w:pPr>
        <w:widowControl w:val="0"/>
        <w:tabs>
          <w:tab w:val="right" w:leader="none" w:pos="5040"/>
        </w:tabs>
        <w:spacing w:after="0" w:line="360" w:lineRule="auto"/>
        <w:ind w:firstLine="709"/>
        <w:jc w:val="center"/>
        <w:rPr>
          <w:rFonts w:ascii="Times New Roman" w:cs="Times New Roman" w:eastAsia="Times New Roman" w:hAnsi="Times New Roman"/>
          <w:b w:val="1"/>
          <w:bCs w:val="1"/>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55" style="width:194.4pt;height:115.2pt" o:ole="" type="#_x0000_t75">
            <v:imagedata r:id="rId25" o:title=""/>
          </v:shape>
          <o:OLEObject DrawAspect="Content" r:id="rId26" ObjectID="_1851601575" ProgID="Equation.DSMT4" ShapeID="_x0000_i1055" Type="Embed"/>
        </w:pict>
      </w:r>
      <w:r w:rsidDel="00000000" w:rsidR="00000000" w:rsidRPr="00000000">
        <w:rPr>
          <w:rtl w:val="0"/>
        </w:rPr>
      </w:r>
    </w:p>
    <w:p w:rsidR="00000000" w:rsidDel="00000000" w:rsidP="00000000" w:rsidRDefault="00000000" w:rsidRPr="00000000" w14:paraId="00000017">
      <w:pPr>
        <w:spacing w:after="0" w:line="360" w:lineRule="auto"/>
        <w:ind w:firstLine="709"/>
        <w:jc w:val="center"/>
        <w:rPr>
          <w:rFonts w:ascii="Times New Roman" w:cs="Times New Roman" w:eastAsia="Times New Roman" w:hAnsi="Times New Roman"/>
          <w:color w:val="7030a0"/>
          <w:sz w:val="28"/>
          <w:szCs w:val="28"/>
        </w:rPr>
      </w:pPr>
      <w:r w:rsidDel="00000000" w:rsidR="00000000" w:rsidRPr="00000000">
        <w:rPr>
          <w:rFonts w:ascii="Times New Roman" w:cs="Times New Roman" w:eastAsia="Times New Roman" w:hAnsi="Times New Roman"/>
          <w:color w:val="7030a0"/>
          <w:sz w:val="46.66666666666667"/>
          <w:szCs w:val="46.66666666666667"/>
          <w:vertAlign w:val="subscript"/>
        </w:rPr>
        <w:pict>
          <v:shape id="_x0000_i1056" style="width:194.4pt;height:78.6pt" o:ole="" type="#_x0000_t75">
            <v:imagedata r:id="rId27" o:title=""/>
          </v:shape>
          <o:OLEObject DrawAspect="Content" r:id="rId28" ObjectID="_1851601576" ProgID="Equation.DSMT4" ShapeID="_x0000_i1056" Type="Embed"/>
        </w:pict>
      </w:r>
      <w:r w:rsidDel="00000000" w:rsidR="00000000" w:rsidRPr="00000000">
        <w:rPr>
          <w:rtl w:val="0"/>
        </w:rPr>
      </w:r>
    </w:p>
    <w:p w:rsidR="00000000" w:rsidDel="00000000" w:rsidP="00000000" w:rsidRDefault="00000000" w:rsidRPr="00000000" w14:paraId="00000018">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правил нечіткого контролера: </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995"/>
        <w:gridCol w:w="1995"/>
        <w:gridCol w:w="1995"/>
        <w:gridCol w:w="2205"/>
        <w:tblGridChange w:id="0">
          <w:tblGrid>
            <w:gridCol w:w="1170"/>
            <w:gridCol w:w="1995"/>
            <w:gridCol w:w="1995"/>
            <w:gridCol w:w="1995"/>
            <w:gridCol w:w="2205"/>
          </w:tblGrid>
        </w:tblGridChange>
      </w:tblGrid>
      <w:tr>
        <w:trPr>
          <w:cantSplit w:val="0"/>
          <w:tblHeader w:val="0"/>
        </w:trPr>
        <w:tc>
          <w:tcPr/>
          <w:p w:rsidR="00000000" w:rsidDel="00000000" w:rsidP="00000000" w:rsidRDefault="00000000" w:rsidRPr="00000000" w14:paraId="0000001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Номер правила </w:t>
            </w:r>
          </w:p>
        </w:tc>
        <w:tc>
          <w:tcPr/>
          <w:p w:rsidR="00000000" w:rsidDel="00000000" w:rsidP="00000000" w:rsidRDefault="00000000" w:rsidRPr="00000000" w14:paraId="0000001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Вхідна величина ER</w:t>
            </w:r>
          </w:p>
        </w:tc>
        <w:tc>
          <w:tcPr/>
          <w:p w:rsidR="00000000" w:rsidDel="00000000" w:rsidP="00000000" w:rsidRDefault="00000000" w:rsidRPr="00000000" w14:paraId="0000001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Вхідна величина СC</w:t>
            </w:r>
          </w:p>
        </w:tc>
        <w:tc>
          <w:tcPr/>
          <w:p w:rsidR="00000000" w:rsidDel="00000000" w:rsidP="00000000" w:rsidRDefault="00000000" w:rsidRPr="00000000" w14:paraId="0000001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Вхідна величина BS</w:t>
            </w:r>
          </w:p>
        </w:tc>
        <w:tc>
          <w:tcPr/>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Вихідна величина TI</w:t>
            </w:r>
          </w:p>
        </w:tc>
      </w:tr>
      <w:tr>
        <w:trPr>
          <w:cantSplit w:val="0"/>
          <w:tblHeader w:val="0"/>
        </w:trPr>
        <w:tc>
          <w:tcPr/>
          <w:p w:rsidR="00000000" w:rsidDel="00000000" w:rsidP="00000000" w:rsidRDefault="00000000" w:rsidRPr="00000000" w14:paraId="0000001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високий</w:t>
            </w:r>
          </w:p>
        </w:tc>
      </w:tr>
      <w:tr>
        <w:trPr>
          <w:cantSplit w:val="0"/>
          <w:tblHeader w:val="0"/>
        </w:trPr>
        <w:tc>
          <w:tcPr/>
          <w:p w:rsidR="00000000" w:rsidDel="00000000" w:rsidP="00000000" w:rsidRDefault="00000000" w:rsidRPr="00000000" w14:paraId="0000002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2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w:t>
            </w:r>
          </w:p>
        </w:tc>
      </w:tr>
      <w:tr>
        <w:trPr>
          <w:cantSplit w:val="0"/>
          <w:tblHeader w:val="0"/>
        </w:trPr>
        <w:tc>
          <w:tcPr/>
          <w:p w:rsidR="00000000" w:rsidDel="00000000" w:rsidP="00000000" w:rsidRDefault="00000000" w:rsidRPr="00000000" w14:paraId="0000002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w:t>
            </w:r>
          </w:p>
        </w:tc>
      </w:tr>
      <w:tr>
        <w:trPr>
          <w:cantSplit w:val="0"/>
          <w:tblHeader w:val="0"/>
        </w:trPr>
        <w:tc>
          <w:tcPr/>
          <w:p w:rsidR="00000000" w:rsidDel="00000000" w:rsidP="00000000" w:rsidRDefault="00000000" w:rsidRPr="00000000" w14:paraId="0000002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3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високий</w:t>
            </w:r>
          </w:p>
        </w:tc>
      </w:tr>
      <w:tr>
        <w:trPr>
          <w:cantSplit w:val="0"/>
          <w:tblHeader w:val="0"/>
        </w:trPr>
        <w:tc>
          <w:tcPr/>
          <w:p w:rsidR="00000000" w:rsidDel="00000000" w:rsidP="00000000" w:rsidRDefault="00000000" w:rsidRPr="00000000" w14:paraId="0000003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3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3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w:t>
            </w:r>
          </w:p>
        </w:tc>
      </w:tr>
      <w:tr>
        <w:trPr>
          <w:cantSplit w:val="0"/>
          <w:tblHeader w:val="0"/>
        </w:trPr>
        <w:tc>
          <w:tcPr/>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rHeight w:val="260" w:hRule="atLeast"/>
          <w:tblHeader w:val="0"/>
        </w:trPr>
        <w:tc>
          <w:tcPr/>
          <w:p w:rsidR="00000000" w:rsidDel="00000000" w:rsidP="00000000" w:rsidRDefault="00000000" w:rsidRPr="00000000" w14:paraId="0000004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4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 </w:t>
            </w:r>
          </w:p>
        </w:tc>
        <w:tc>
          <w:tcPr/>
          <w:p w:rsidR="00000000" w:rsidDel="00000000" w:rsidP="00000000" w:rsidRDefault="00000000" w:rsidRPr="00000000" w14:paraId="0000004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4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4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4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4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 </w:t>
            </w:r>
          </w:p>
        </w:tc>
        <w:tc>
          <w:tcPr/>
          <w:p w:rsidR="00000000" w:rsidDel="00000000" w:rsidP="00000000" w:rsidRDefault="00000000" w:rsidRPr="00000000" w14:paraId="0000004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4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4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4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 </w:t>
            </w:r>
          </w:p>
        </w:tc>
        <w:tc>
          <w:tcPr/>
          <w:p w:rsidR="00000000" w:rsidDel="00000000" w:rsidP="00000000" w:rsidRDefault="00000000" w:rsidRPr="00000000" w14:paraId="0000004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4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w:t>
            </w:r>
          </w:p>
        </w:tc>
      </w:tr>
      <w:tr>
        <w:trPr>
          <w:cantSplit w:val="0"/>
          <w:tblHeader w:val="0"/>
        </w:trPr>
        <w:tc>
          <w:tcPr/>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c>
          <w:tcPr/>
          <w:p w:rsidR="00000000" w:rsidDel="00000000" w:rsidP="00000000" w:rsidRDefault="00000000" w:rsidRPr="00000000" w14:paraId="0000005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5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середній</w:t>
            </w:r>
          </w:p>
        </w:tc>
      </w:tr>
      <w:tr>
        <w:trPr>
          <w:cantSplit w:val="0"/>
          <w:tblHeader w:val="0"/>
        </w:trPr>
        <w:tc>
          <w:tcPr/>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c>
          <w:tcPr/>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c>
          <w:tcPr/>
          <w:p w:rsidR="00000000" w:rsidDel="00000000" w:rsidP="00000000" w:rsidRDefault="00000000" w:rsidRPr="00000000" w14:paraId="0000005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5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5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5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5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w:t>
            </w:r>
          </w:p>
        </w:tc>
        <w:tc>
          <w:tcPr/>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tc>
        <w:tc>
          <w:tcPr/>
          <w:p w:rsidR="00000000" w:rsidDel="00000000" w:rsidP="00000000" w:rsidRDefault="00000000" w:rsidRPr="00000000" w14:paraId="0000006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6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6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w:t>
            </w:r>
          </w:p>
        </w:tc>
        <w:tc>
          <w:tcPr/>
          <w:p w:rsidR="00000000" w:rsidDel="00000000" w:rsidP="00000000" w:rsidRDefault="00000000" w:rsidRPr="00000000" w14:paraId="0000006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6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6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w:t>
            </w:r>
          </w:p>
        </w:tc>
        <w:tc>
          <w:tcPr/>
          <w:p w:rsidR="00000000" w:rsidDel="00000000" w:rsidP="00000000" w:rsidRDefault="00000000" w:rsidRPr="00000000" w14:paraId="0000006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7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7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w:t>
            </w:r>
          </w:p>
        </w:tc>
        <w:tc>
          <w:tcPr/>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7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7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7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7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низький</w:t>
            </w:r>
          </w:p>
        </w:tc>
      </w:tr>
      <w:tr>
        <w:trPr>
          <w:cantSplit w:val="0"/>
          <w:tblHeader w:val="0"/>
        </w:trPr>
        <w:tc>
          <w:tcPr/>
          <w:p w:rsidR="00000000" w:rsidDel="00000000" w:rsidP="00000000" w:rsidRDefault="00000000" w:rsidRPr="00000000" w14:paraId="0000007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7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8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8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c>
          <w:tcPr/>
          <w:p w:rsidR="00000000" w:rsidDel="00000000" w:rsidP="00000000" w:rsidRDefault="00000000" w:rsidRPr="00000000" w14:paraId="0000008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8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8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8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8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8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8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 </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8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9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c>
          <w:tcPr/>
          <w:p w:rsidR="00000000" w:rsidDel="00000000" w:rsidP="00000000" w:rsidRDefault="00000000" w:rsidRPr="00000000" w14:paraId="0000009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9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Мала</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blHeader w:val="0"/>
        </w:trPr>
        <w:tc>
          <w:tcPr/>
          <w:p w:rsidR="00000000" w:rsidDel="00000000" w:rsidP="00000000" w:rsidRDefault="00000000" w:rsidRPr="00000000" w14:paraId="0000009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9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Середня</w:t>
            </w:r>
          </w:p>
        </w:tc>
        <w:tc>
          <w:tcPr/>
          <w:p w:rsidR="00000000" w:rsidDel="00000000" w:rsidP="00000000" w:rsidRDefault="00000000" w:rsidRPr="00000000" w14:paraId="0000009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r>
        <w:trPr>
          <w:cantSplit w:val="0"/>
          <w:trHeight w:val="70" w:hRule="atLeast"/>
          <w:tblHeader w:val="0"/>
        </w:trPr>
        <w:tc>
          <w:tcPr/>
          <w:p w:rsidR="00000000" w:rsidDel="00000000" w:rsidP="00000000" w:rsidRDefault="00000000" w:rsidRPr="00000000" w14:paraId="000000A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27</w:t>
            </w:r>
          </w:p>
        </w:tc>
        <w:tc>
          <w:tcPr/>
          <w:p w:rsidR="00000000" w:rsidDel="00000000" w:rsidP="00000000" w:rsidRDefault="00000000" w:rsidRPr="00000000" w14:paraId="000000A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A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Велика</w:t>
            </w:r>
          </w:p>
        </w:tc>
        <w:tc>
          <w:tcPr/>
          <w:p w:rsidR="00000000" w:rsidDel="00000000" w:rsidP="00000000" w:rsidRDefault="00000000" w:rsidRPr="00000000" w14:paraId="000000A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Дуже низький</w:t>
            </w:r>
          </w:p>
        </w:tc>
      </w:tr>
    </w:tbl>
    <w:p w:rsidR="00000000" w:rsidDel="00000000" w:rsidP="00000000" w:rsidRDefault="00000000" w:rsidRPr="00000000" w14:paraId="000000A5">
      <w:pPr>
        <w:spacing w:after="0" w:line="360" w:lineRule="auto"/>
        <w:ind w:firstLine="709"/>
        <w:jc w:val="both"/>
        <w:rPr>
          <w:rFonts w:ascii="Times New Roman" w:cs="Times New Roman" w:eastAsia="Times New Roman" w:hAnsi="Times New Roman"/>
          <w:color w:val="7030a0"/>
          <w:sz w:val="28"/>
          <w:szCs w:val="28"/>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69"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kgy9xytl1sg4" w:id="1"/>
      <w:bookmarkEnd w:id="1"/>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inqyif" w:customStyle="1">
    <w:name w:val="inqyif"/>
    <w:basedOn w:val="a0"/>
    <w:rsid w:val="0059006A"/>
  </w:style>
  <w:style w:type="character" w:styleId="a3">
    <w:name w:val="Strong"/>
    <w:basedOn w:val="a0"/>
    <w:uiPriority w:val="22"/>
    <w:qFormat w:val="1"/>
    <w:rsid w:val="0059006A"/>
    <w:rPr>
      <w:b w:val="1"/>
      <w:bCs w:val="1"/>
    </w:rPr>
  </w:style>
  <w:style w:type="paragraph" w:styleId="a4">
    <w:name w:val="List Paragraph"/>
    <w:basedOn w:val="a"/>
    <w:uiPriority w:val="34"/>
    <w:qFormat w:val="1"/>
    <w:rsid w:val="0059006A"/>
    <w:pPr>
      <w:ind w:left="720"/>
      <w:contextualSpacing w:val="1"/>
    </w:pPr>
  </w:style>
  <w:style w:type="character" w:styleId="a5">
    <w:name w:val="Emphasis"/>
    <w:basedOn w:val="a0"/>
    <w:uiPriority w:val="20"/>
    <w:qFormat w:val="1"/>
    <w:rsid w:val="00B36033"/>
    <w:rPr>
      <w:i w:val="1"/>
      <w:iCs w:val="1"/>
    </w:rPr>
  </w:style>
  <w:style w:type="character" w:styleId="30" w:customStyle="1">
    <w:name w:val="Заголовок 3 Знак"/>
    <w:basedOn w:val="a0"/>
    <w:link w:val="3"/>
    <w:uiPriority w:val="9"/>
    <w:rsid w:val="00A67FB7"/>
    <w:rPr>
      <w:rFonts w:cstheme="majorBidi" w:eastAsiaTheme="majorEastAsia"/>
      <w:color w:val="2e74b5" w:themeColor="accent1" w:themeShade="0000BF"/>
      <w:kern w:val="2"/>
      <w:sz w:val="28"/>
      <w:szCs w:val="28"/>
    </w:rPr>
  </w:style>
  <w:style w:type="table" w:styleId="1" w:customStyle="1">
    <w:name w:val="Сітка таблиці1"/>
    <w:basedOn w:val="a1"/>
    <w:next w:val="a6"/>
    <w:rsid w:val="00A67F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6">
    <w:name w:val="Table Grid"/>
    <w:basedOn w:val="a1"/>
    <w:uiPriority w:val="39"/>
    <w:rsid w:val="00A67F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oleObject" Target="embeddings/oleObject3.bin"/><Relationship Id="rId22" Type="http://schemas.openxmlformats.org/officeDocument/2006/relationships/oleObject" Target="embeddings/oleObject6.bin"/><Relationship Id="rId21" Type="http://schemas.openxmlformats.org/officeDocument/2006/relationships/image" Target="media/image6.wmf"/><Relationship Id="rId24" Type="http://schemas.openxmlformats.org/officeDocument/2006/relationships/oleObject" Target="embeddings/oleObject4.bin"/><Relationship Id="rId23" Type="http://schemas.openxmlformats.org/officeDocument/2006/relationships/image" Target="media/image4.wmf"/><Relationship Id="rId1" Type="http://schemas.openxmlformats.org/officeDocument/2006/relationships/image" Target="media/image10.wmf"/><Relationship Id="rId2" Type="http://schemas.openxmlformats.org/officeDocument/2006/relationships/oleObject" Target="embeddings/oleObject10.bin"/><Relationship Id="rId3" Type="http://schemas.openxmlformats.org/officeDocument/2006/relationships/image" Target="media/image12.wmf"/><Relationship Id="rId4" Type="http://schemas.openxmlformats.org/officeDocument/2006/relationships/oleObject" Target="embeddings/oleObject12.bin"/><Relationship Id="rId9" Type="http://schemas.openxmlformats.org/officeDocument/2006/relationships/image" Target="media/image5.wmf"/><Relationship Id="rId26" Type="http://schemas.openxmlformats.org/officeDocument/2006/relationships/oleObject" Target="embeddings/oleObject14.bin"/><Relationship Id="rId25" Type="http://schemas.openxmlformats.org/officeDocument/2006/relationships/image" Target="media/image14.wmf"/><Relationship Id="rId28" Type="http://schemas.openxmlformats.org/officeDocument/2006/relationships/oleObject" Target="embeddings/oleObject13.bin"/><Relationship Id="rId27" Type="http://schemas.openxmlformats.org/officeDocument/2006/relationships/image" Target="media/image13.wmf"/><Relationship Id="rId5" Type="http://schemas.openxmlformats.org/officeDocument/2006/relationships/image" Target="media/image11.wmf"/><Relationship Id="rId29" Type="http://schemas.openxmlformats.org/officeDocument/2006/relationships/theme" Target="theme/theme1.xml"/><Relationship Id="rId6" Type="http://schemas.openxmlformats.org/officeDocument/2006/relationships/oleObject" Target="embeddings/oleObject11.bin"/><Relationship Id="rId7" Type="http://schemas.openxmlformats.org/officeDocument/2006/relationships/image" Target="media/image7.wmf"/><Relationship Id="rId8" Type="http://schemas.openxmlformats.org/officeDocument/2006/relationships/oleObject" Target="embeddings/oleObject7.bin"/><Relationship Id="rId31" Type="http://schemas.openxmlformats.org/officeDocument/2006/relationships/fontTable" Target="fontTable.xml"/><Relationship Id="rId30" Type="http://schemas.openxmlformats.org/officeDocument/2006/relationships/settings" Target="settings.xml"/><Relationship Id="rId33" Type="http://schemas.openxmlformats.org/officeDocument/2006/relationships/styles" Target="styles.xml"/><Relationship Id="rId11" Type="http://schemas.openxmlformats.org/officeDocument/2006/relationships/image" Target="media/image9.wmf"/><Relationship Id="rId32" Type="http://schemas.openxmlformats.org/officeDocument/2006/relationships/numbering" Target="numbering.xml"/><Relationship Id="rId10" Type="http://schemas.openxmlformats.org/officeDocument/2006/relationships/oleObject" Target="embeddings/oleObject5.bin"/><Relationship Id="rId13" Type="http://schemas.openxmlformats.org/officeDocument/2006/relationships/image" Target="media/image8.wmf"/><Relationship Id="rId34" Type="http://schemas.openxmlformats.org/officeDocument/2006/relationships/customXml" Target="../customXML/item1.xml"/><Relationship Id="rId12" Type="http://schemas.openxmlformats.org/officeDocument/2006/relationships/oleObject" Target="embeddings/oleObject9.bin"/><Relationship Id="rId15" Type="http://schemas.openxmlformats.org/officeDocument/2006/relationships/image" Target="media/image2.wmf"/><Relationship Id="rId14" Type="http://schemas.openxmlformats.org/officeDocument/2006/relationships/oleObject" Target="embeddings/oleObject8.bin"/><Relationship Id="rId17" Type="http://schemas.openxmlformats.org/officeDocument/2006/relationships/image" Target="media/image1.wmf"/><Relationship Id="rId16" Type="http://schemas.openxmlformats.org/officeDocument/2006/relationships/oleObject" Target="embeddings/oleObject2.bin"/><Relationship Id="rId19" Type="http://schemas.openxmlformats.org/officeDocument/2006/relationships/image" Target="media/image3.wmf"/><Relationship Id="rId18"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9"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16wJoNFC9Hoi9hIonBXtgtB8pg==">CgMxLjAyDmguaWdoZ3ZlYTMzOGlvMg5oLmtneTl4eXRsMXNnNDgAciExQ3FnZGdBWjRrNXptSTU3TFoxZ055RTVaQ1Q3MFFHZFg=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2026-09-22T13:21:00Z</dcterms:created>
  <dc:creator>Andrii Dzhus</dc:creator>
</cp:coreProperties>
</file>