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4" w:name="content"/>
    <w:bookmarkStart w:id="53" w:name="Xa83c06de77433a6a1f701a16548253c6dfc7792"/>
    <w:p>
      <w:pPr>
        <w:pStyle w:val="Heading1"/>
      </w:pPr>
      <w:r>
        <w:t xml:space="preserve">Стратегія для візуальної новели про «швейцарську депресію» під Status S у Цюриху</w:t>
      </w:r>
    </w:p>
    <w:bookmarkStart w:id="22" w:name="Xf841de3aacf74aeac20c311f97abd6ad65dcb8d"/>
    <w:p>
      <w:pPr>
        <w:pStyle w:val="Heading2"/>
      </w:pPr>
      <w:r>
        <w:t xml:space="preserve">Вхідна рамка і де саме виникають «парадокси»</w:t>
      </w:r>
    </w:p>
    <w:p>
      <w:pPr>
        <w:pStyle w:val="FirstParagraph"/>
      </w:pPr>
      <w:r>
        <w:t xml:space="preserve">Ваш запит насправді складається з двох конфліктів систем, і обидва вирішуються не «хитрістю», а архітектурою доказів.</w:t>
      </w:r>
    </w:p>
    <w:p>
      <w:pPr>
        <w:pStyle w:val="BodyText"/>
      </w:pPr>
      <w:r>
        <w:t xml:space="preserve">Перший конфлікт («Legal–Creative») — це бажання робити гіперреалістичні триґери (Bünzli‑культура, впізнавані локації), але не потрапити під позови за порушення особистих прав (ZGB 28) і під мінні поля недобросовісної конкуренції (UWG) через бренди / “trade dress” / підрив репутації.</w:t>
      </w:r>
    </w:p>
    <w:p>
      <w:pPr>
        <w:pStyle w:val="BodyText"/>
      </w:pPr>
      <w:r>
        <w:t xml:space="preserve">Другий («Welfare–Capital») — спроба одночасно:</w:t>
      </w:r>
    </w:p>
    <w:p>
      <w:pPr>
        <w:pStyle w:val="Compact"/>
        <w:numPr>
          <w:ilvl w:val="0"/>
          <w:numId w:val="1001"/>
        </w:numPr>
      </w:pPr>
      <w:r>
        <w:t xml:space="preserve">залишатися отримувачем соціальної допомоги у Цюриху (де активи й «притоки» контролюються),</w:t>
      </w:r>
    </w:p>
    <w:p>
      <w:pPr>
        <w:pStyle w:val="Compact"/>
        <w:numPr>
          <w:ilvl w:val="0"/>
          <w:numId w:val="1001"/>
        </w:numPr>
      </w:pPr>
      <w:r>
        <w:t xml:space="preserve">отримати грант(и) під культурний проєкт,</w:t>
      </w:r>
    </w:p>
    <w:p>
      <w:pPr>
        <w:pStyle w:val="Compact"/>
        <w:numPr>
          <w:ilvl w:val="0"/>
          <w:numId w:val="1001"/>
        </w:numPr>
      </w:pPr>
      <w:r>
        <w:t xml:space="preserve">оплачувати продакшн,</w:t>
      </w:r>
    </w:p>
    <w:p>
      <w:pPr>
        <w:pStyle w:val="Compact"/>
        <w:numPr>
          <w:ilvl w:val="0"/>
          <w:numId w:val="1001"/>
        </w:numPr>
      </w:pPr>
      <w:r>
        <w:t xml:space="preserve">і ще й отримати Integrationszulage (IZU),</w:t>
      </w:r>
      <w:r>
        <w:t xml:space="preserve"> </w:t>
      </w:r>
      <w:r>
        <w:t xml:space="preserve">але так, щоб соціальний орган не побачив у цьому ваших особистих ресурсів.</w:t>
      </w:r>
    </w:p>
    <w:p>
      <w:pPr>
        <w:pStyle w:val="FirstParagraph"/>
      </w:pPr>
      <w:r>
        <w:t xml:space="preserve">Ключова реальність: соціальна допомога в кантоні/місті Цюрих побудована навколо</w:t>
      </w:r>
      <w:r>
        <w:t xml:space="preserve"> </w:t>
      </w:r>
      <w:r>
        <w:rPr>
          <w:b/>
          <w:bCs/>
        </w:rPr>
        <w:t xml:space="preserve">обов’язку повного і правдивого розкриття</w:t>
      </w:r>
      <w:r>
        <w:t xml:space="preserve"> </w:t>
      </w:r>
      <w:r>
        <w:t xml:space="preserve">та принципу субсидіарності; будь‑яка гра в “нехай не дізнаються” запускає механіку повернення і може перейти в кримінальну площину.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У наданому вами аудит‑документі це сформульовано ще жорсткіше: «не рахунок винен — винна верифікованість» (тобто не магія форми “Verein”, а доказовість того, що ви</w:t>
      </w:r>
      <w:r>
        <w:t xml:space="preserve"> </w:t>
      </w:r>
      <w:r>
        <w:rPr>
          <w:b/>
          <w:bCs/>
        </w:rPr>
        <w:t xml:space="preserve">не отримали</w:t>
      </w:r>
      <w:r>
        <w:t xml:space="preserve"> </w:t>
      </w:r>
      <w:r>
        <w:t xml:space="preserve">приватної вигоди і нічого не приховали). fileciteturn0file0</w:t>
      </w:r>
    </w:p>
    <w:bookmarkEnd w:id="22"/>
    <w:bookmarkStart w:id="30" w:name="X9ade41419561c18ce7a940ca17e2bac71de01cb"/>
    <w:p>
      <w:pPr>
        <w:pStyle w:val="Heading2"/>
      </w:pPr>
      <w:r>
        <w:t xml:space="preserve">Юридично‑креативний парадокс: два «броньовані» наративні обхідні маневри</w:t>
      </w:r>
    </w:p>
    <w:p>
      <w:pPr>
        <w:pStyle w:val="FirstParagraph"/>
      </w:pPr>
      <w:r>
        <w:t xml:space="preserve">Нижче — два рішення, які одночасно:</w:t>
      </w:r>
    </w:p>
    <w:p>
      <w:pPr>
        <w:pStyle w:val="Compact"/>
        <w:numPr>
          <w:ilvl w:val="0"/>
          <w:numId w:val="1002"/>
        </w:numPr>
      </w:pPr>
      <w:r>
        <w:t xml:space="preserve">дають психологічний удар по швейцарських триґерах (контроль, порядок, соціальний погляд, «Hausordnung», чистота/перфекціонізм),</w:t>
      </w:r>
    </w:p>
    <w:p>
      <w:pPr>
        <w:pStyle w:val="Compact"/>
        <w:numPr>
          <w:ilvl w:val="0"/>
          <w:numId w:val="1002"/>
        </w:numPr>
      </w:pPr>
      <w:r>
        <w:t xml:space="preserve">знижують ризик, що хтось зможе сказати: «це про мене / про мій бізнес / про мою локацію» (ідентифікація → ZGB 28),</w:t>
      </w:r>
    </w:p>
    <w:p>
      <w:pPr>
        <w:pStyle w:val="Compact"/>
        <w:numPr>
          <w:ilvl w:val="0"/>
          <w:numId w:val="1002"/>
        </w:numPr>
      </w:pPr>
      <w:r>
        <w:t xml:space="preserve">та прибирають класичні UWG/MSchG пастки (плутанина, паразитування на репутації, “look‑alike” бренди).</w:t>
      </w:r>
    </w:p>
    <w:bookmarkStart w:id="26" w:name="X56a522b2492bda7596878b24ccd997cdc90a47a"/>
    <w:p>
      <w:pPr>
        <w:pStyle w:val="Heading3"/>
      </w:pPr>
      <w:r>
        <w:t xml:space="preserve">Обхідний маневр «Документальна оболонка, вигадане ядро»</w:t>
      </w:r>
    </w:p>
    <w:p>
      <w:pPr>
        <w:pStyle w:val="FirstParagraph"/>
      </w:pPr>
      <w:r>
        <w:rPr>
          <w:b/>
          <w:bCs/>
        </w:rPr>
        <w:t xml:space="preserve">Ідея:</w:t>
      </w:r>
      <w:r>
        <w:t xml:space="preserve"> </w:t>
      </w:r>
      <w:r>
        <w:t xml:space="preserve">реальні локації — лише як</w:t>
      </w:r>
      <w:r>
        <w:t xml:space="preserve"> </w:t>
      </w:r>
      <w:r>
        <w:rPr>
          <w:i/>
          <w:iCs/>
        </w:rPr>
        <w:t xml:space="preserve">нейтральні establishing shots</w:t>
      </w:r>
      <w:r>
        <w:t xml:space="preserve"> </w:t>
      </w:r>
      <w:r>
        <w:t xml:space="preserve">(міські “листівки”), а весь токсичний психологічний контент відбувається у</w:t>
      </w:r>
      <w:r>
        <w:t xml:space="preserve"> </w:t>
      </w:r>
      <w:r>
        <w:rPr>
          <w:b/>
          <w:bCs/>
        </w:rPr>
        <w:t xml:space="preserve">повністю вигаданих</w:t>
      </w:r>
      <w:r>
        <w:t xml:space="preserve"> </w:t>
      </w:r>
      <w:r>
        <w:t xml:space="preserve">інтер’єрах і «гібридних» просторах.</w:t>
      </w:r>
    </w:p>
    <w:p>
      <w:pPr>
        <w:pStyle w:val="BodyText"/>
      </w:pPr>
      <w:r>
        <w:t xml:space="preserve">Чому це працює юридично:</w:t>
      </w:r>
    </w:p>
    <w:p>
      <w:pPr>
        <w:pStyle w:val="Compact"/>
        <w:numPr>
          <w:ilvl w:val="0"/>
          <w:numId w:val="1003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зовнішніх об’єктів</w:t>
      </w:r>
      <w:r>
        <w:t xml:space="preserve">, які</w:t>
      </w:r>
      <w:r>
        <w:t xml:space="preserve"> </w:t>
      </w:r>
      <w:r>
        <w:rPr>
          <w:b/>
          <w:bCs/>
        </w:rPr>
        <w:t xml:space="preserve">постійно</w:t>
      </w:r>
      <w:r>
        <w:t xml:space="preserve"> </w:t>
      </w:r>
      <w:r>
        <w:t xml:space="preserve">розміщені в місцях, доступних публіці, у швейцарському авторському праві є «панорама‑виняток»: такий твір можна зображати і поширювати, але він не дає вам ліцензії на чужі бренди/дизайн‑системи.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3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інтер’єрів/керованих просторів</w:t>
      </w:r>
      <w:r>
        <w:t xml:space="preserve"> </w:t>
      </w:r>
      <w:r>
        <w:t xml:space="preserve">юридичний ризик різко зростає не лише через IP, а й через</w:t>
      </w:r>
      <w:r>
        <w:t xml:space="preserve"> </w:t>
      </w:r>
      <w:r>
        <w:rPr>
          <w:i/>
          <w:iCs/>
        </w:rPr>
        <w:t xml:space="preserve">Hausrecht</w:t>
      </w:r>
      <w:r>
        <w:t xml:space="preserve"> </w:t>
      </w:r>
      <w:r>
        <w:t xml:space="preserve">(право власника встановлювати правила), а для комерційних зйомок/фото на територіях на кшталт залізничної інфраструктури діє дозвільна логіка (на практиці — формалізована заявка).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3"/>
        </w:numPr>
      </w:pPr>
      <w:r>
        <w:t xml:space="preserve">ZGB 28 спрацьовує тоді, коли є</w:t>
      </w:r>
      <w:r>
        <w:t xml:space="preserve"> </w:t>
      </w:r>
      <w:r>
        <w:rPr>
          <w:b/>
          <w:bCs/>
        </w:rPr>
        <w:t xml:space="preserve">втручання в особистість</w:t>
      </w:r>
      <w:r>
        <w:t xml:space="preserve"> </w:t>
      </w:r>
      <w:r>
        <w:t xml:space="preserve">(честь/приватність/образ) і воно не виправдане згодою/переважаючим інтересом/законом. У творчому продукті найчастіша помилка — «я не назвав ім’я, але зробив людину впізнаваною».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Як реалізувати «ядро» так, щоб воно било по швейцарській психіці:</w:t>
      </w:r>
    </w:p>
    <w:p>
      <w:pPr>
        <w:pStyle w:val="Compact"/>
        <w:numPr>
          <w:ilvl w:val="0"/>
          <w:numId w:val="1004"/>
        </w:numPr>
      </w:pPr>
      <w:r>
        <w:t xml:space="preserve">«Bünzli‑травма» не потребує реальних брендів або конкретних адрес. Вона живе в правилах: графік пральні, сортування сміття, шурхіт паперу, пасивно‑агресивні записки, мовчазний контроль сусідів, культ «правильно» й «акуратно». Це</w:t>
      </w:r>
      <w:r>
        <w:t xml:space="preserve"> </w:t>
      </w:r>
      <w:r>
        <w:rPr>
          <w:b/>
          <w:bCs/>
        </w:rPr>
        <w:t xml:space="preserve">соціальні механізми</w:t>
      </w:r>
      <w:r>
        <w:t xml:space="preserve">, а не конкретні компанії.</w:t>
      </w:r>
    </w:p>
    <w:p>
      <w:pPr>
        <w:pStyle w:val="Compact"/>
        <w:numPr>
          <w:ilvl w:val="0"/>
          <w:numId w:val="1004"/>
        </w:numPr>
      </w:pPr>
      <w:r>
        <w:t xml:space="preserve">Сцени найбільшої гостроти (приниження, соціальний сором, “общинний суд” у під’їзді) відбуваються в</w:t>
      </w:r>
      <w:r>
        <w:t xml:space="preserve"> </w:t>
      </w:r>
      <w:r>
        <w:rPr>
          <w:b/>
          <w:bCs/>
        </w:rPr>
        <w:t xml:space="preserve">вигаданих інтер’єрах</w:t>
      </w:r>
      <w:r>
        <w:t xml:space="preserve">, які лише стилістично «швейцарські». Тоді ви не «обмовляєте» реальну локацію і не створюєте враження, що конкретний бізнес/організація пов’язані з подією.</w:t>
      </w:r>
    </w:p>
    <w:p>
      <w:pPr>
        <w:pStyle w:val="FirstParagraph"/>
      </w:pPr>
      <w:r>
        <w:t xml:space="preserve">Комерційно це теж сильніше: у глядача виникає відчуття «я знаю це місце», але в юриста опонента немає простого гачка «ось точний прототип».</w:t>
      </w:r>
    </w:p>
    <w:bookmarkEnd w:id="26"/>
    <w:bookmarkStart w:id="29" w:name="X6b576ebc0128ca6a5513aacf206bac2b16b6bbe"/>
    <w:p>
      <w:pPr>
        <w:pStyle w:val="Heading3"/>
      </w:pPr>
      <w:r>
        <w:t xml:space="preserve">Обхідний маневр «Комбінаторна анонімізація: 7→1»</w:t>
      </w:r>
    </w:p>
    <w:p>
      <w:pPr>
        <w:pStyle w:val="FirstParagraph"/>
      </w:pPr>
      <w:r>
        <w:rPr>
          <w:b/>
          <w:bCs/>
        </w:rPr>
        <w:t xml:space="preserve">Ідея:</w:t>
      </w:r>
      <w:r>
        <w:t xml:space="preserve"> </w:t>
      </w:r>
      <w:r>
        <w:t xml:space="preserve">ви створюєте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«прототип» (один реальний референт), а</w:t>
      </w:r>
      <w:r>
        <w:t xml:space="preserve"> </w:t>
      </w:r>
      <w:r>
        <w:rPr>
          <w:b/>
          <w:bCs/>
        </w:rPr>
        <w:t xml:space="preserve">композит</w:t>
      </w:r>
      <w:r>
        <w:t xml:space="preserve">: кожна впізнавана штука в сцені — з іншого джерела, так що жоден реальний об’єкт/персона не стає «bestimmbare Person» або «конкретним місцем події».</w:t>
      </w:r>
    </w:p>
    <w:p>
      <w:pPr>
        <w:pStyle w:val="BodyText"/>
      </w:pPr>
      <w:r>
        <w:t xml:space="preserve">Практичний протокол (короткий, але жорсткий):</w:t>
      </w:r>
      <w:r>
        <w:t xml:space="preserve"> </w:t>
      </w:r>
      <w:r>
        <w:t xml:space="preserve">1. Берете</w:t>
      </w:r>
      <w:r>
        <w:t xml:space="preserve"> </w:t>
      </w:r>
      <w:r>
        <w:rPr>
          <w:b/>
          <w:bCs/>
        </w:rPr>
        <w:t xml:space="preserve">мінімум 7</w:t>
      </w:r>
      <w:r>
        <w:t xml:space="preserve"> </w:t>
      </w:r>
      <w:r>
        <w:t xml:space="preserve">реальних референсів (не 2–3). Для кожного — 1–2 «маркерні деталі».</w:t>
      </w:r>
      <w:r>
        <w:br/>
      </w:r>
      <w:r>
        <w:t xml:space="preserve">2. У фінальному сеті забороняєте будь‑яку комбінацію, де</w:t>
      </w:r>
      <w:r>
        <w:t xml:space="preserve"> </w:t>
      </w:r>
      <w:r>
        <w:rPr>
          <w:b/>
          <w:bCs/>
        </w:rPr>
        <w:t xml:space="preserve">3+ маркери</w:t>
      </w:r>
      <w:r>
        <w:t xml:space="preserve"> </w:t>
      </w:r>
      <w:r>
        <w:t xml:space="preserve">походять з одного джерела.</w:t>
      </w:r>
      <w:r>
        <w:br/>
      </w:r>
      <w:r>
        <w:t xml:space="preserve">3. Міняєте</w:t>
      </w:r>
      <w:r>
        <w:t xml:space="preserve"> </w:t>
      </w:r>
      <w:r>
        <w:rPr>
          <w:b/>
          <w:bCs/>
        </w:rPr>
        <w:t xml:space="preserve">топологію</w:t>
      </w:r>
      <w:r>
        <w:t xml:space="preserve">: двері/вікна/маршрут/план — інші, навіть якщо «дух» той самий.</w:t>
      </w:r>
      <w:r>
        <w:br/>
      </w:r>
      <w:r>
        <w:t xml:space="preserve">4. Міняєте</w:t>
      </w:r>
      <w:r>
        <w:t xml:space="preserve"> </w:t>
      </w:r>
      <w:r>
        <w:rPr>
          <w:b/>
          <w:bCs/>
        </w:rPr>
        <w:t xml:space="preserve">час і роль</w:t>
      </w:r>
      <w:r>
        <w:t xml:space="preserve">: якщо у реальності це “Х”, у грі це “Y” і в іншій послідовності подій.</w:t>
      </w:r>
      <w:r>
        <w:br/>
      </w:r>
      <w:r>
        <w:t xml:space="preserve">5. Уникаєте «унікальних» деталей, які роблять місце ідентифікованим (особливий мурал, конкретна вітрина, унікальна табличка, точний дизайн годинника/знаку).</w:t>
      </w:r>
    </w:p>
    <w:p>
      <w:pPr>
        <w:pStyle w:val="BodyText"/>
      </w:pPr>
      <w:r>
        <w:t xml:space="preserve">Чому це працює юридично:</w:t>
      </w:r>
    </w:p>
    <w:p>
      <w:pPr>
        <w:pStyle w:val="Compact"/>
        <w:numPr>
          <w:ilvl w:val="0"/>
          <w:numId w:val="1005"/>
        </w:numPr>
      </w:pPr>
      <w:r>
        <w:t xml:space="preserve">ZGB 28 найнебезпечніший у зоні: «негативний наратив + ідентифікація». Ваше завдання — зламати</w:t>
      </w:r>
      <w:r>
        <w:t xml:space="preserve"> </w:t>
      </w:r>
      <w:r>
        <w:rPr>
          <w:b/>
          <w:bCs/>
        </w:rPr>
        <w:t xml:space="preserve">ідентифікацію</w:t>
      </w:r>
      <w:r>
        <w:t xml:space="preserve">. Саме композитність і зміна топології роблять це реально захищуваним.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5"/>
        </w:numPr>
      </w:pPr>
      <w:r>
        <w:t xml:space="preserve">Для сатири/карикатури швейцарська доктрина визнає свободу, але застерігає: вона стає проблемою, якщо</w:t>
      </w:r>
      <w:r>
        <w:t xml:space="preserve"> </w:t>
      </w:r>
      <w:r>
        <w:rPr>
          <w:b/>
          <w:bCs/>
        </w:rPr>
        <w:t xml:space="preserve">не впізнається як сатира</w:t>
      </w:r>
      <w:r>
        <w:t xml:space="preserve"> </w:t>
      </w:r>
      <w:r>
        <w:t xml:space="preserve">або «перетинає межі нестерпним чином». Тобто вам вигідна</w:t>
      </w:r>
      <w:r>
        <w:t xml:space="preserve"> </w:t>
      </w:r>
      <w:r>
        <w:rPr>
          <w:b/>
          <w:bCs/>
        </w:rPr>
        <w:t xml:space="preserve">виразна художня стилізація</w:t>
      </w:r>
      <w:r>
        <w:t xml:space="preserve"> </w:t>
      </w:r>
      <w:r>
        <w:t xml:space="preserve">(а не “1:1 як у житті”).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t xml:space="preserve">Додатковий жорсткий стоп‑правил:</w:t>
      </w:r>
      <w:r>
        <w:t xml:space="preserve"> </w:t>
      </w:r>
      <w:r>
        <w:rPr>
          <w:b/>
          <w:bCs/>
        </w:rPr>
        <w:t xml:space="preserve">нуль реальних облич і нуль “AI‑реалізму” без згоди</w:t>
      </w:r>
      <w:r>
        <w:t xml:space="preserve">. Регулятори прямо б’ють по ризику, коли генерується реалістична людина, яку можна ідентифікувати без її відома/згоди.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bookmarkEnd w:id="29"/>
    <w:bookmarkEnd w:id="30"/>
    <w:bookmarkStart w:id="33" w:name="Xb409acab115c1017018b97ec0aaac3f3a31754c"/>
    <w:p>
      <w:pPr>
        <w:pStyle w:val="Heading2"/>
      </w:pPr>
      <w:r>
        <w:t xml:space="preserve">Конкретні «червоні лінії» Швейцарії для вашого жанру</w:t>
      </w:r>
    </w:p>
    <w:p>
      <w:pPr>
        <w:pStyle w:val="FirstParagraph"/>
      </w:pPr>
      <w:r>
        <w:t xml:space="preserve">Це не «загальні обережності». Це типові точки, де швейцарські проєкти реально підриваються.</w:t>
      </w:r>
    </w:p>
    <w:p>
      <w:pPr>
        <w:pStyle w:val="BodyText"/>
      </w:pPr>
      <w:r>
        <w:t xml:space="preserve">Перший блок —</w:t>
      </w:r>
      <w:r>
        <w:t xml:space="preserve"> </w:t>
      </w:r>
      <w:r>
        <w:rPr>
          <w:b/>
          <w:bCs/>
        </w:rPr>
        <w:t xml:space="preserve">особисті права (ZGB 28)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Ризик зростає не від «темної теми», а від</w:t>
      </w:r>
      <w:r>
        <w:t xml:space="preserve"> </w:t>
      </w:r>
      <w:r>
        <w:rPr>
          <w:b/>
          <w:bCs/>
        </w:rPr>
        <w:t xml:space="preserve">прив’язки</w:t>
      </w:r>
      <w:r>
        <w:t xml:space="preserve"> </w:t>
      </w:r>
      <w:r>
        <w:t xml:space="preserve">до конкретної людини або малого кола осіб із впізнаваними деталями (робота, роль, місце, конкретний епізод). Формула:</w:t>
      </w:r>
      <w:r>
        <w:t xml:space="preserve"> </w:t>
      </w:r>
      <w:r>
        <w:rPr>
          <w:i/>
          <w:iCs/>
        </w:rPr>
        <w:t xml:space="preserve">детальність → ідентифікація → позов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Другий блок —</w:t>
      </w:r>
      <w:r>
        <w:t xml:space="preserve"> </w:t>
      </w:r>
      <w:r>
        <w:rPr>
          <w:b/>
          <w:bCs/>
        </w:rPr>
        <w:t xml:space="preserve">бренди/конкуренція (UWG + товарні знаки)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UWG забороняє поведінку, що є оманливою або іншими способами суперечить добросовісності (Treu und Glauben) і впливає на відносини між постачальниками та споживачами/конкурентами. Це основа для претензій, якщо ви робите “look‑alike” бренд так, що глядач плутає або виїжджаєте на чужій репутації.</w:t>
      </w:r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7"/>
        </w:numPr>
      </w:pPr>
      <w:r>
        <w:t xml:space="preserve">В українсько‑російських креативних колах люблять “пародійні” назви типу «Magros». У Швейцарії це часто програється не як «жарт», а як</w:t>
      </w:r>
      <w:r>
        <w:t xml:space="preserve"> </w:t>
      </w:r>
      <w:r>
        <w:rPr>
          <w:b/>
          <w:bCs/>
        </w:rPr>
        <w:t xml:space="preserve">ризик плутанини</w:t>
      </w:r>
      <w:r>
        <w:t xml:space="preserve"> </w:t>
      </w:r>
      <w:r>
        <w:t xml:space="preserve">(UWG) і/або використання знака в комерційному обороті (MSchG).</w:t>
      </w:r>
      <w:r>
        <w:t xml:space="preserve"> </w:t>
      </w:r>
      <w:hyperlink r:id="rId32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t xml:space="preserve">Третій блок —</w:t>
      </w:r>
      <w:r>
        <w:t xml:space="preserve"> </w:t>
      </w:r>
      <w:r>
        <w:rPr>
          <w:b/>
          <w:bCs/>
        </w:rPr>
        <w:t xml:space="preserve">фото/референси з керованих просторів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Якщо ви робите референси зі сфер, де власник реально контролює комерційні зйомки/фото, вам дешевше одразу будувати пайплайн “exterior‑only + invented interiors”, ніж потім вигризати дозволи. На практиці великі інфраструктурні оператори мають окремі процеси для комерційних зйомок/фото.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End w:id="33"/>
    <w:bookmarkStart w:id="37" w:name="X2ba087fb8667d373b6f4346b70cb748c8821b30"/>
    <w:p>
      <w:pPr>
        <w:pStyle w:val="Heading2"/>
      </w:pPr>
      <w:r>
        <w:t xml:space="preserve">Велфер‑капітал парадокс: чому «соцслужба не торкнеться жодного франка» — помилкова постановка</w:t>
      </w:r>
    </w:p>
    <w:p>
      <w:pPr>
        <w:pStyle w:val="FirstParagraph"/>
      </w:pPr>
      <w:r>
        <w:t xml:space="preserve">Я не допоможу з інструкціями, метою яких є зробити так, щоб соціальний орган «не зміг дістатися» до грошей або щоб приховати вплив гранту на право на допомогу. Це була б інструкція з обходу правил і потенційно з неправомірного отримання виплат.</w:t>
      </w:r>
    </w:p>
    <w:p>
      <w:pPr>
        <w:pStyle w:val="BodyText"/>
      </w:pPr>
      <w:r>
        <w:t xml:space="preserve">Я натомість дам єдину практичну конструкцію, яка</w:t>
      </w:r>
      <w:r>
        <w:t xml:space="preserve"> </w:t>
      </w:r>
      <w:r>
        <w:rPr>
          <w:b/>
          <w:bCs/>
        </w:rPr>
        <w:t xml:space="preserve">легально</w:t>
      </w:r>
      <w:r>
        <w:t xml:space="preserve"> </w:t>
      </w:r>
      <w:r>
        <w:t xml:space="preserve">максимізує ваш шанс:</w:t>
      </w:r>
    </w:p>
    <w:p>
      <w:pPr>
        <w:pStyle w:val="Compact"/>
        <w:numPr>
          <w:ilvl w:val="0"/>
          <w:numId w:val="1009"/>
        </w:numPr>
      </w:pPr>
      <w:r>
        <w:t xml:space="preserve">зберегти соціальну допомогу,</w:t>
      </w:r>
    </w:p>
    <w:p>
      <w:pPr>
        <w:pStyle w:val="Compact"/>
        <w:numPr>
          <w:ilvl w:val="0"/>
          <w:numId w:val="1009"/>
        </w:numPr>
      </w:pPr>
      <w:r>
        <w:t xml:space="preserve">фінансувати проєкт,</w:t>
      </w:r>
    </w:p>
    <w:p>
      <w:pPr>
        <w:pStyle w:val="Compact"/>
        <w:numPr>
          <w:ilvl w:val="0"/>
          <w:numId w:val="1009"/>
        </w:numPr>
      </w:pPr>
      <w:r>
        <w:t xml:space="preserve">і просити IZU,</w:t>
      </w:r>
      <w:r>
        <w:t xml:space="preserve"> </w:t>
      </w:r>
      <w:r>
        <w:t xml:space="preserve">не створивши для себе кримінальних і фінансових мін.</w:t>
      </w:r>
    </w:p>
    <w:p>
      <w:pPr>
        <w:pStyle w:val="FirstParagraph"/>
      </w:pPr>
      <w:r>
        <w:t xml:space="preserve">Чому «Verein як щит» — не абсолют:</w:t>
      </w:r>
    </w:p>
    <w:p>
      <w:pPr>
        <w:pStyle w:val="Compact"/>
        <w:numPr>
          <w:ilvl w:val="0"/>
          <w:numId w:val="1010"/>
        </w:numPr>
      </w:pPr>
      <w:r>
        <w:t xml:space="preserve">У кантоні Цюрих діє обов’язок</w:t>
      </w:r>
      <w:r>
        <w:t xml:space="preserve"> </w:t>
      </w:r>
      <w:r>
        <w:rPr>
          <w:b/>
          <w:bCs/>
        </w:rPr>
        <w:t xml:space="preserve">повного і правдивого інформування</w:t>
      </w:r>
      <w:r>
        <w:t xml:space="preserve"> </w:t>
      </w:r>
      <w:r>
        <w:t xml:space="preserve">соціального органу про релевантні обставини (включно з фінансовими).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10"/>
        </w:numPr>
      </w:pPr>
      <w:r>
        <w:t xml:space="preserve">Якщо допомогу отримано через неправдиві/неповні дані або використання не за визначеною метою, запускається режим</w:t>
      </w:r>
      <w:r>
        <w:t xml:space="preserve"> </w:t>
      </w:r>
      <w:r>
        <w:rPr>
          <w:b/>
          <w:bCs/>
        </w:rPr>
        <w:t xml:space="preserve">повернення</w:t>
      </w:r>
      <w:r>
        <w:t xml:space="preserve"> </w:t>
      </w:r>
      <w:r>
        <w:t xml:space="preserve">за §26 SHG (і санкційні механізми).</w:t>
      </w:r>
      <w:r>
        <w:t xml:space="preserve"> </w:t>
      </w:r>
      <w:hyperlink r:id="rId34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10"/>
        </w:numPr>
      </w:pPr>
      <w:r>
        <w:t xml:space="preserve">На кримінальному рівні</w:t>
      </w:r>
      <w:r>
        <w:t xml:space="preserve"> </w:t>
      </w:r>
      <w:r>
        <w:rPr>
          <w:b/>
          <w:bCs/>
        </w:rPr>
        <w:t xml:space="preserve">Art. 148a StGB</w:t>
      </w:r>
      <w:r>
        <w:t xml:space="preserve"> </w:t>
      </w:r>
      <w:r>
        <w:t xml:space="preserve">покриває введення в оману (в т.ч. через замовчування фактів), що веде до неправомірного отримання соціальної допомоги.</w:t>
      </w:r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10"/>
        </w:numPr>
      </w:pPr>
      <w:r>
        <w:t xml:space="preserve">Додатково, у Цюриху майнові пороги чіткі: для соціальної допомоги місто прямо вказує, що для одиночної особи активи не мають перевищувати</w:t>
      </w:r>
      <w:r>
        <w:t xml:space="preserve"> </w:t>
      </w:r>
      <w:r>
        <w:rPr>
          <w:b/>
          <w:bCs/>
        </w:rPr>
        <w:t xml:space="preserve">CHF 6’000</w:t>
      </w:r>
      <w:r>
        <w:t xml:space="preserve">, і якщо активи вищі — спочатку треба фінансувати проживання з них.</w:t>
      </w:r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</w:p>
    <w:p>
      <w:pPr>
        <w:pStyle w:val="FirstParagraph"/>
      </w:pPr>
      <w:r>
        <w:t xml:space="preserve">Отже фраза «соцслужба не торкнеться» замінюється на</w:t>
      </w:r>
      <w:r>
        <w:t xml:space="preserve"> </w:t>
      </w:r>
      <w:r>
        <w:rPr>
          <w:b/>
          <w:bCs/>
        </w:rPr>
        <w:t xml:space="preserve">керований критерій</w:t>
      </w:r>
      <w:r>
        <w:t xml:space="preserve">:</w:t>
      </w:r>
    </w:p>
    <w:p>
      <w:pPr>
        <w:pStyle w:val="BlockText"/>
      </w:pPr>
      <w:r>
        <w:t xml:space="preserve">соціальний орган не має підстав рахувати грант як ваш ресурс, якщо ви прозоро задокументували, що ці кошти не стали вашим доходом/активом і не дали вам вигоди на проживання.</w:t>
      </w:r>
    </w:p>
    <w:p>
      <w:pPr>
        <w:pStyle w:val="FirstParagraph"/>
      </w:pPr>
      <w:r>
        <w:t xml:space="preserve">Це рівно те «перетворення невизначеності на керований ризик», яке вам радить внутрішній аудит: не магічні слова, а paper trail і письмова позиція соцоргану. fileciteturn0file0</w:t>
      </w:r>
    </w:p>
    <w:bookmarkEnd w:id="37"/>
    <w:bookmarkStart w:id="51" w:name="X2b703975fd500ece66317ac1df30f0697dff5a6"/>
    <w:p>
      <w:pPr>
        <w:pStyle w:val="Heading2"/>
      </w:pPr>
      <w:r>
        <w:t xml:space="preserve">Єдина легальна послідовність для гранту → Verein → оплата активів → запит на IZU</w:t>
      </w:r>
    </w:p>
    <w:p>
      <w:pPr>
        <w:pStyle w:val="FirstParagraph"/>
      </w:pPr>
      <w:r>
        <w:t xml:space="preserve">Нижче — виконуваний алгоритм для соло‑розробника з мінімальним кешем. Він не гарантує “0 питань”, але максимально знижує ризик, що грант стане «вашим майном» у розумінні соціальної допомоги.</w:t>
      </w:r>
    </w:p>
    <w:bookmarkStart w:id="41" w:name="Xac6971f2d52c11c4c0eb4dc95f8bfeb8ed96cb5"/>
    <w:p>
      <w:pPr>
        <w:pStyle w:val="Heading3"/>
      </w:pPr>
      <w:r>
        <w:t xml:space="preserve">Крок нуль: вибір гранту під правильний тип витрат</w:t>
      </w:r>
    </w:p>
    <w:p>
      <w:pPr>
        <w:pStyle w:val="FirstParagraph"/>
      </w:pPr>
      <w:r>
        <w:t xml:space="preserve">Для Story Lab важливо не зламатися об правила програми:</w:t>
      </w:r>
    </w:p>
    <w:p>
      <w:pPr>
        <w:pStyle w:val="Compact"/>
        <w:numPr>
          <w:ilvl w:val="0"/>
          <w:numId w:val="1011"/>
        </w:numPr>
      </w:pPr>
      <w:r>
        <w:t xml:space="preserve">Програма прямо включає</w:t>
      </w:r>
      <w:r>
        <w:t xml:space="preserve"> </w:t>
      </w:r>
      <w:r>
        <w:rPr>
          <w:b/>
          <w:bCs/>
        </w:rPr>
        <w:t xml:space="preserve">games</w:t>
      </w:r>
      <w:r>
        <w:t xml:space="preserve"> </w:t>
      </w:r>
      <w:r>
        <w:t xml:space="preserve">як формат і допускає заявку від</w:t>
      </w:r>
      <w:r>
        <w:t xml:space="preserve"> </w:t>
      </w:r>
      <w:r>
        <w:rPr>
          <w:b/>
          <w:bCs/>
        </w:rPr>
        <w:t xml:space="preserve">фізосіб із місцем проживання у Швейцарії</w:t>
      </w:r>
      <w:r>
        <w:t xml:space="preserve"> </w:t>
      </w:r>
      <w:r>
        <w:t xml:space="preserve">або організацій із сидом у Швейцарії.</w:t>
      </w:r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1"/>
        </w:numPr>
      </w:pPr>
      <w:r>
        <w:t xml:space="preserve">Фокус —</w:t>
      </w:r>
      <w:r>
        <w:t xml:space="preserve"> </w:t>
      </w:r>
      <w:r>
        <w:rPr>
          <w:b/>
          <w:bCs/>
        </w:rPr>
        <w:t xml:space="preserve">рання розробка історії (Stoffentwicklung)</w:t>
      </w:r>
      <w:r>
        <w:t xml:space="preserve">, а гроші виплачуються двома траншами</w:t>
      </w:r>
      <w:r>
        <w:t xml:space="preserve"> </w:t>
      </w:r>
      <w:r>
        <w:rPr>
          <w:b/>
          <w:bCs/>
        </w:rPr>
        <w:t xml:space="preserve">70% на старті / 30% після Schlussbericht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1"/>
        </w:numPr>
      </w:pPr>
      <w:r>
        <w:t xml:space="preserve">Для Stufe II прямо вказано:</w:t>
      </w:r>
      <w:r>
        <w:t xml:space="preserve"> </w:t>
      </w:r>
      <w:r>
        <w:rPr>
          <w:b/>
          <w:bCs/>
        </w:rPr>
        <w:t xml:space="preserve">не фінансуються виробничі витрати (Produktionskosten)</w:t>
      </w:r>
      <w:r>
        <w:t xml:space="preserve">. Тобто “повний набір ігрових асетів для релізу” може бути неприйнятним; натомість «прототип, арт‑напрям, вертикальний зріз» часто краще узгоджуються з “development”.</w:t>
      </w:r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</w:p>
    <w:p>
      <w:pPr>
        <w:pStyle w:val="FirstParagraph"/>
      </w:pPr>
      <w:r>
        <w:t xml:space="preserve">Грант €20–30k, який ви згадуєте, більше схожий на колабораційні раунди Culture Helps Solidarity (там фігурує діапазон €20’000–€30’000 для міжнародних співпраць).</w:t>
      </w:r>
      <w:r>
        <w:t xml:space="preserve"> </w:t>
      </w:r>
      <w:hyperlink r:id="rId39">
        <w:r>
          <w:rPr>
            <w:rStyle w:val="Hyperlink"/>
          </w:rPr>
          <w:t xml:space="preserve">[14]</w:t>
        </w:r>
      </w:hyperlink>
      <w:r>
        <w:br/>
      </w:r>
      <w:r>
        <w:t xml:space="preserve">Але це вже</w:t>
      </w:r>
      <w:r>
        <w:t xml:space="preserve"> </w:t>
      </w:r>
      <w:r>
        <w:rPr>
          <w:b/>
          <w:bCs/>
        </w:rPr>
        <w:t xml:space="preserve">інший режим</w:t>
      </w:r>
      <w:r>
        <w:t xml:space="preserve">: зазвичай потрібні партнери, транскордонні активності і чітка “solidarity / inclusion” логіка.</w:t>
      </w:r>
      <w:r>
        <w:t xml:space="preserve"> </w:t>
      </w:r>
      <w:hyperlink r:id="rId40">
        <w:r>
          <w:rPr>
            <w:rStyle w:val="Hyperlink"/>
          </w:rPr>
          <w:t xml:space="preserve">[15]</w:t>
        </w:r>
      </w:hyperlink>
    </w:p>
    <w:bookmarkEnd w:id="41"/>
    <w:bookmarkStart w:id="44" w:name="Xf8a64a7365f49e327a97ec5de89f98bb67cb2aa"/>
    <w:p>
      <w:pPr>
        <w:pStyle w:val="Heading3"/>
      </w:pPr>
      <w:r>
        <w:t xml:space="preserve">Формування Verein як фінансово‑доказового контейнера</w:t>
      </w:r>
    </w:p>
    <w:p>
      <w:pPr>
        <w:pStyle w:val="Compact"/>
        <w:numPr>
          <w:ilvl w:val="0"/>
          <w:numId w:val="1012"/>
        </w:numPr>
      </w:pPr>
      <w:r>
        <w:t xml:space="preserve">Створіть Verein із максимально простими статутами, але з правильною «юридичною геометрією»: статути мають бути письмові й містити мету, засоби та організацію.</w:t>
      </w:r>
      <w:r>
        <w:t xml:space="preserve"> </w:t>
      </w:r>
      <w:hyperlink r:id="rId42">
        <w:r>
          <w:rPr>
            <w:rStyle w:val="Hyperlink"/>
          </w:rPr>
          <w:t xml:space="preserve">[16]</w:t>
        </w:r>
      </w:hyperlink>
    </w:p>
    <w:p>
      <w:pPr>
        <w:numPr>
          <w:ilvl w:val="0"/>
          <w:numId w:val="1012"/>
        </w:numPr>
      </w:pPr>
      <w:r>
        <w:t xml:space="preserve">Закладіть у статутах / протоколі правління два критичних обмеження, які потім показуються соцоргану: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цільове використання коштів</w:t>
      </w:r>
      <w:r>
        <w:t xml:space="preserve">: лише проєктні витрати, жодних витрат на проживання/харчування/медстрахування засновника;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двопідписність</w:t>
      </w:r>
      <w:r>
        <w:t xml:space="preserve">: витрати з рахунку — лише з двома підписами (ви + незалежний член правління). Це дешево, але сильно підвищує «не мої приватні гроші» як фактичну позицію.</w:t>
      </w:r>
    </w:p>
    <w:p>
      <w:pPr>
        <w:pStyle w:val="Compact"/>
        <w:numPr>
          <w:ilvl w:val="0"/>
          <w:numId w:val="1012"/>
        </w:numPr>
      </w:pPr>
      <w:r>
        <w:t xml:space="preserve">Перевірте, чи треба реєструватися в Handelsregister. У кантоні Цюрих базове правило: асоціації зазвичай не зобов’язані реєструватися; обов’язок виникає за певних умов (комерційне ведення тощо).</w:t>
      </w:r>
      <w:r>
        <w:t xml:space="preserve"> </w:t>
      </w:r>
      <w:hyperlink r:id="rId43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12"/>
        </w:numPr>
      </w:pPr>
      <w:r>
        <w:t xml:space="preserve">Відкрийте окремий банківський рахунок на Verein (це зазвичай найбільша практична перешкода, але без неї вся конструкція слабшає).</w:t>
      </w:r>
    </w:p>
    <w:bookmarkEnd w:id="44"/>
    <w:bookmarkStart w:id="46" w:name="X4de36cfd6bf0b9d94875942af64008e10b4ab41"/>
    <w:p>
      <w:pPr>
        <w:pStyle w:val="Heading3"/>
      </w:pPr>
      <w:r>
        <w:t xml:space="preserve">Соціальна допомога: нейтралізуємо «Zufluss‑ефект» законним шляхом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До</w:t>
      </w:r>
      <w:r>
        <w:t xml:space="preserve"> </w:t>
      </w:r>
      <w:r>
        <w:t xml:space="preserve">подання/прийняття гранту подайте в соціальний орган письмове повідомлення (email/лист) з трьома вкладеннями:</w:t>
      </w:r>
    </w:p>
    <w:p>
      <w:pPr>
        <w:numPr>
          <w:ilvl w:val="0"/>
          <w:numId w:val="1013"/>
        </w:numPr>
      </w:pPr>
      <w:r>
        <w:t xml:space="preserve">статути Verein,</w:t>
      </w:r>
    </w:p>
    <w:p>
      <w:pPr>
        <w:pStyle w:val="Compact"/>
        <w:numPr>
          <w:ilvl w:val="0"/>
          <w:numId w:val="1013"/>
        </w:numPr>
      </w:pPr>
      <w:r>
        <w:t xml:space="preserve">протокол установчих зборів + склад правління,</w:t>
      </w:r>
    </w:p>
    <w:p>
      <w:pPr>
        <w:pStyle w:val="Compact"/>
        <w:numPr>
          <w:ilvl w:val="0"/>
          <w:numId w:val="1013"/>
        </w:numPr>
      </w:pPr>
      <w:r>
        <w:t xml:space="preserve">бюджет проєкту з чітким “не фінансує проживання” (одним абзацом, жирно й прямо).</w:t>
      </w:r>
    </w:p>
    <w:p>
      <w:pPr>
        <w:pStyle w:val="FirstParagraph"/>
      </w:pPr>
      <w:r>
        <w:t xml:space="preserve">Причина проста: §18 SHG зобов’язує давати повну і правдиву інформацію; ви знімаєте підозру не словами, а документами.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br/>
      </w:r>
      <w:r>
        <w:t xml:space="preserve">6. Попросіть</w:t>
      </w:r>
      <w:r>
        <w:t xml:space="preserve"> </w:t>
      </w:r>
      <w:r>
        <w:rPr>
          <w:b/>
          <w:bCs/>
        </w:rPr>
        <w:t xml:space="preserve">письмову позицію</w:t>
      </w:r>
      <w:r>
        <w:t xml:space="preserve">, як саме соцорган трактуватиме:</w:t>
      </w:r>
    </w:p>
    <w:p>
      <w:pPr>
        <w:pStyle w:val="Compact"/>
        <w:numPr>
          <w:ilvl w:val="0"/>
          <w:numId w:val="1014"/>
        </w:numPr>
      </w:pPr>
      <w:r>
        <w:t xml:space="preserve">грантові кошти на рахунку Verein (за умови двопідписності та заборони на “living costs”),</w:t>
      </w:r>
    </w:p>
    <w:p>
      <w:pPr>
        <w:pStyle w:val="Compact"/>
        <w:numPr>
          <w:ilvl w:val="0"/>
          <w:numId w:val="1014"/>
        </w:numPr>
      </w:pPr>
      <w:r>
        <w:t xml:space="preserve">компенсації витрат (Spesen) засновнику,</w:t>
      </w:r>
    </w:p>
    <w:p>
      <w:pPr>
        <w:pStyle w:val="Compact"/>
        <w:numPr>
          <w:ilvl w:val="0"/>
          <w:numId w:val="1014"/>
        </w:numPr>
      </w:pPr>
      <w:r>
        <w:t xml:space="preserve">і вашу зайнятість/інтеграційний план.</w:t>
      </w:r>
    </w:p>
    <w:p>
      <w:pPr>
        <w:pStyle w:val="FirstParagraph"/>
      </w:pPr>
      <w:r>
        <w:t xml:space="preserve">Це не “просимо лазівку”, це нормальна управлінська практика, бо наслідки помилки — повернення за §26 SHG і потенційні кримінальні ризики при недекларуванні/замовчуванні фактів.</w:t>
      </w:r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  <w:r>
        <w:br/>
      </w:r>
      <w:r>
        <w:t xml:space="preserve">7. Тримайте особисті активи нижче ліміту міста (для одиночної особи — CHF 6’000). Якщо грант випадково зайде на ваш особистий рахунок і підніме активи вище — система дуже прямолінійна: спершу ви живете з цього “надлишку”.</w:t>
      </w:r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br/>
      </w:r>
      <w:r>
        <w:t xml:space="preserve">8. Пам’ятайте, що «добровільні виплати третіх осіб» у принципі належать до доходів, що враховуються. Тому ваша конструкція повинна робити правдоподібним (і доказовим), що це не “виплата вам”, а проєктний бюджет окремої юрособи без приватної вигоди.</w:t>
      </w:r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</w:p>
    <w:bookmarkEnd w:id="46"/>
    <w:bookmarkStart w:id="47" w:name="X6b63b03806a822d3bd2e4f0af3657d08827422a"/>
    <w:p>
      <w:pPr>
        <w:pStyle w:val="Heading3"/>
      </w:pPr>
      <w:r>
        <w:t xml:space="preserve">Оплата підрядників і активів так, щоб це не стало вашим «доходом у натурі»</w:t>
      </w:r>
    </w:p>
    <w:p>
      <w:pPr>
        <w:numPr>
          <w:ilvl w:val="0"/>
          <w:numId w:val="1015"/>
        </w:numPr>
      </w:pPr>
      <w:r>
        <w:t xml:space="preserve">Усі витрати — лише з рахунку Verein і лише проти документів:</w:t>
      </w:r>
    </w:p>
    <w:p>
      <w:pPr>
        <w:numPr>
          <w:ilvl w:val="0"/>
          <w:numId w:val="1015"/>
        </w:numPr>
      </w:pPr>
      <w:r>
        <w:t xml:space="preserve">контракт/оферта,</w:t>
      </w:r>
    </w:p>
    <w:p>
      <w:pPr>
        <w:pStyle w:val="Compact"/>
        <w:numPr>
          <w:ilvl w:val="0"/>
          <w:numId w:val="1015"/>
        </w:numPr>
      </w:pPr>
      <w:r>
        <w:t xml:space="preserve">інвойс,</w:t>
      </w:r>
    </w:p>
    <w:p>
      <w:pPr>
        <w:pStyle w:val="Compact"/>
        <w:numPr>
          <w:ilvl w:val="0"/>
          <w:numId w:val="1015"/>
        </w:numPr>
      </w:pPr>
      <w:r>
        <w:t xml:space="preserve">підтвердження платежу,</w:t>
      </w:r>
    </w:p>
    <w:p>
      <w:pPr>
        <w:pStyle w:val="Compact"/>
        <w:numPr>
          <w:ilvl w:val="0"/>
          <w:numId w:val="1015"/>
        </w:numPr>
      </w:pPr>
      <w:r>
        <w:t xml:space="preserve">акт приймання/передачі або лист “delivery”.</w:t>
      </w:r>
    </w:p>
    <w:p>
      <w:pPr>
        <w:numPr>
          <w:ilvl w:val="0"/>
          <w:numId w:val="1015"/>
        </w:numPr>
      </w:pPr>
      <w:r>
        <w:t xml:space="preserve">Забороніть собі «комфортні» сірі зони:</w:t>
      </w:r>
    </w:p>
    <w:p>
      <w:pPr>
        <w:numPr>
          <w:ilvl w:val="0"/>
          <w:numId w:val="1015"/>
        </w:numPr>
      </w:pPr>
      <w:r>
        <w:t xml:space="preserve">жодних кеш‑зняттів,</w:t>
      </w:r>
    </w:p>
    <w:p>
      <w:pPr>
        <w:pStyle w:val="Compact"/>
        <w:numPr>
          <w:ilvl w:val="0"/>
          <w:numId w:val="1015"/>
        </w:numPr>
      </w:pPr>
      <w:r>
        <w:t xml:space="preserve">жодних “flat monthly allowances” собі,</w:t>
      </w:r>
    </w:p>
    <w:p>
      <w:pPr>
        <w:pStyle w:val="Compact"/>
        <w:numPr>
          <w:ilvl w:val="0"/>
          <w:numId w:val="1015"/>
        </w:numPr>
      </w:pPr>
      <w:r>
        <w:t xml:space="preserve">жодних подарункових карт/техніки “для роботи і для життя одночасно”.</w:t>
      </w:r>
    </w:p>
    <w:p>
      <w:pPr>
        <w:pStyle w:val="FirstParagraph"/>
      </w:pPr>
      <w:r>
        <w:t xml:space="preserve">Бо як тільки з’являється приватна вигода (benefit in kind), соцорган починає трактувати це як ресурс, а при спорах у них сильні інструменти повернення.</w:t>
      </w:r>
      <w:r>
        <w:t xml:space="preserve"> </w:t>
      </w:r>
      <w:hyperlink r:id="rId34">
        <w:r>
          <w:rPr>
            <w:rStyle w:val="Hyperlink"/>
          </w:rPr>
          <w:t xml:space="preserve">[20]</w:t>
        </w:r>
      </w:hyperlink>
    </w:p>
    <w:bookmarkEnd w:id="47"/>
    <w:bookmarkStart w:id="50" w:name="Xd9ab012dc954c404d69de7067143df5af28361d"/>
    <w:p>
      <w:pPr>
        <w:pStyle w:val="Heading3"/>
      </w:pPr>
      <w:r>
        <w:t xml:space="preserve">IZU: як просити так, щоб це виглядало (і було) інтеграцією, а не «бізнесом під соцом»</w:t>
      </w:r>
    </w:p>
    <w:p>
      <w:pPr>
        <w:pStyle w:val="Compact"/>
        <w:numPr>
          <w:ilvl w:val="0"/>
          <w:numId w:val="1016"/>
        </w:numPr>
      </w:pPr>
      <w:r>
        <w:t xml:space="preserve">IZU в кантоні Цюрих — це не “тариф за години”, а</w:t>
      </w:r>
      <w:r>
        <w:t xml:space="preserve"> </w:t>
      </w:r>
      <w:r>
        <w:rPr>
          <w:b/>
          <w:bCs/>
        </w:rPr>
        <w:t xml:space="preserve">дискреційна</w:t>
      </w:r>
      <w:r>
        <w:t xml:space="preserve"> </w:t>
      </w:r>
      <w:r>
        <w:t xml:space="preserve">надбавка: «як правило між CHF 100 і максимум CHF 300 на особу на місяць», залежно від індивідуального зусилля і значущості.</w:t>
      </w:r>
      <w:r>
        <w:t xml:space="preserve"> </w:t>
      </w:r>
      <w:hyperlink r:id="rId48">
        <w:r>
          <w:rPr>
            <w:rStyle w:val="Hyperlink"/>
          </w:rPr>
          <w:t xml:space="preserve">[21]</w:t>
        </w:r>
      </w:hyperlink>
    </w:p>
    <w:p>
      <w:pPr>
        <w:numPr>
          <w:ilvl w:val="0"/>
          <w:numId w:val="1016"/>
        </w:numPr>
      </w:pPr>
      <w:r>
        <w:t xml:space="preserve">Тому ваш запит на IZU має бути оформлений як</w:t>
      </w:r>
      <w:r>
        <w:t xml:space="preserve"> </w:t>
      </w:r>
      <w:r>
        <w:rPr>
          <w:b/>
          <w:bCs/>
        </w:rPr>
        <w:t xml:space="preserve">перевірюваний інтеграційний план</w:t>
      </w:r>
      <w:r>
        <w:t xml:space="preserve">, де ваша VN — лише інструмент, а не виправдання. Мінімальний «пакет доказів»:</w:t>
      </w:r>
    </w:p>
    <w:p>
      <w:pPr>
        <w:numPr>
          <w:ilvl w:val="0"/>
          <w:numId w:val="1016"/>
        </w:numPr>
      </w:pPr>
      <w:r>
        <w:t xml:space="preserve">регулярні мовні/професійні активності (сертифікати курсів, підтвердження участі),</w:t>
      </w:r>
    </w:p>
    <w:p>
      <w:pPr>
        <w:pStyle w:val="Compact"/>
        <w:numPr>
          <w:ilvl w:val="0"/>
          <w:numId w:val="1016"/>
        </w:numPr>
      </w:pPr>
      <w:r>
        <w:t xml:space="preserve">портфоліо‑артефакти (демо, сценарні сторінки німецькою, UX‑прототип),</w:t>
      </w:r>
    </w:p>
    <w:p>
      <w:pPr>
        <w:pStyle w:val="Compact"/>
        <w:numPr>
          <w:ilvl w:val="0"/>
          <w:numId w:val="1016"/>
        </w:numPr>
      </w:pPr>
      <w:r>
        <w:t xml:space="preserve">нетворкінг/менторство (підтвердження),</w:t>
      </w:r>
    </w:p>
    <w:p>
      <w:pPr>
        <w:pStyle w:val="Compact"/>
        <w:numPr>
          <w:ilvl w:val="0"/>
          <w:numId w:val="1016"/>
        </w:numPr>
      </w:pPr>
      <w:r>
        <w:t xml:space="preserve">календар/лог‑бук (години + результати).</w:t>
      </w:r>
    </w:p>
    <w:p>
      <w:pPr>
        <w:pStyle w:val="Compact"/>
        <w:numPr>
          <w:ilvl w:val="0"/>
          <w:numId w:val="1016"/>
        </w:numPr>
      </w:pPr>
      <w:r>
        <w:t xml:space="preserve">Важливо: якщо ви починаєте реальну комерційну зайнятість (продаж, регулярний дохід, самозайнятість), це вже не «непрацевлаштований», і паралельно включається режим повідомлень про зайнятість для Status S. У кантоні Цюрих самозайнятість потрібно</w:t>
      </w:r>
      <w:r>
        <w:t xml:space="preserve"> </w:t>
      </w:r>
      <w:r>
        <w:rPr>
          <w:b/>
          <w:bCs/>
        </w:rPr>
        <w:t xml:space="preserve">заявляти до початку</w:t>
      </w:r>
      <w:r>
        <w:t xml:space="preserve">, процедура безкоштовна, але дані мають бути повні/коректні.</w:t>
      </w:r>
      <w:r>
        <w:t xml:space="preserve"> </w:t>
      </w:r>
      <w:hyperlink r:id="rId49">
        <w:r>
          <w:rPr>
            <w:rStyle w:val="Hyperlink"/>
          </w:rPr>
          <w:t xml:space="preserve">[22]</w:t>
        </w:r>
      </w:hyperlink>
    </w:p>
    <w:bookmarkEnd w:id="50"/>
    <w:bookmarkEnd w:id="51"/>
    <w:bookmarkStart w:id="52" w:name="X3fee9fb4847804650f8f6dc52d72a23532a1b44"/>
    <w:p>
      <w:pPr>
        <w:pStyle w:val="Heading2"/>
      </w:pPr>
      <w:r>
        <w:t xml:space="preserve">Операційний мінімум за 100 CHF і «анти‑самознищення» на горизонті 2026–2027</w:t>
      </w:r>
    </w:p>
    <w:p>
      <w:pPr>
        <w:pStyle w:val="FirstParagraph"/>
      </w:pPr>
      <w:r>
        <w:t xml:space="preserve">Ви можете бути соло‑людиною з мінімальним кешем і все одно виглядати «доросло» для грантодавців і соціального органу. Потрібні не гроші, а дисципліна.</w:t>
      </w:r>
    </w:p>
    <w:p>
      <w:pPr>
        <w:pStyle w:val="BodyText"/>
      </w:pPr>
      <w:r>
        <w:t xml:space="preserve">Мінімальний “compliance pack” (зробити за 48 годин):</w:t>
      </w:r>
    </w:p>
    <w:p>
      <w:pPr>
        <w:pStyle w:val="Compact"/>
        <w:numPr>
          <w:ilvl w:val="0"/>
          <w:numId w:val="1017"/>
        </w:numPr>
      </w:pPr>
      <w:r>
        <w:t xml:space="preserve">1 папка “Verein” (статути, протоколи, склад правління, правило двох підписів).</w:t>
      </w:r>
    </w:p>
    <w:p>
      <w:pPr>
        <w:pStyle w:val="Compact"/>
        <w:numPr>
          <w:ilvl w:val="0"/>
          <w:numId w:val="1017"/>
        </w:numPr>
      </w:pPr>
      <w:r>
        <w:t xml:space="preserve">1 папка “Grant” (договір/умови, бюджет, дозволені витрати, календар траншів 70/30).</w:t>
      </w:r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7"/>
        </w:numPr>
      </w:pPr>
      <w:r>
        <w:t xml:space="preserve">1 папка “Sozialamt” (ваше письмове повідомлення + відповідь/позиція, будь‑які погодження).</w:t>
      </w:r>
    </w:p>
    <w:p>
      <w:pPr>
        <w:pStyle w:val="Compact"/>
        <w:numPr>
          <w:ilvl w:val="0"/>
          <w:numId w:val="1017"/>
        </w:numPr>
      </w:pPr>
      <w:r>
        <w:t xml:space="preserve">1 папка “Accounting” (інвойси, платежі, deliverables).</w:t>
      </w:r>
    </w:p>
    <w:p>
      <w:pPr>
        <w:pStyle w:val="FirstParagraph"/>
      </w:pPr>
      <w:r>
        <w:t xml:space="preserve">Психологічно‑наративний мінімум, який дає “швейцарський удар” без юридичної дурості:</w:t>
      </w:r>
    </w:p>
    <w:p>
      <w:pPr>
        <w:pStyle w:val="Compact"/>
        <w:numPr>
          <w:ilvl w:val="0"/>
          <w:numId w:val="1018"/>
        </w:numPr>
      </w:pPr>
      <w:r>
        <w:t xml:space="preserve">Стилізуйте. Чим ближче до фотореалізму — тим дорожчий юрист.</w:t>
      </w:r>
    </w:p>
    <w:p>
      <w:pPr>
        <w:pStyle w:val="Compact"/>
        <w:numPr>
          <w:ilvl w:val="0"/>
          <w:numId w:val="1018"/>
        </w:numPr>
      </w:pPr>
      <w:r>
        <w:t xml:space="preserve">Будуйте триґер на</w:t>
      </w:r>
      <w:r>
        <w:t xml:space="preserve"> </w:t>
      </w:r>
      <w:r>
        <w:rPr>
          <w:b/>
          <w:bCs/>
        </w:rPr>
        <w:t xml:space="preserve">ритуалах контролю</w:t>
      </w:r>
      <w:r>
        <w:t xml:space="preserve">, а не на «ось цей конкретний магазин/станція/людина».</w:t>
      </w:r>
    </w:p>
    <w:p>
      <w:pPr>
        <w:pStyle w:val="Compact"/>
        <w:numPr>
          <w:ilvl w:val="0"/>
          <w:numId w:val="1018"/>
        </w:numPr>
      </w:pPr>
      <w:r>
        <w:t xml:space="preserve">Не використовуйте реалістичні AI‑обличчя без згоди: це прямий репутаційний і комплаєнс‑постріл у ногу.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І останнє — сильна позиція, без дипломатії: якщо ваша фінансова схема базується на тому, що «орган не дізнається» або що «Verein робить гроші недоторканними», то це не стратегія, а квиток у §26 SHG і на орбіту Art. 148a StGB. Натомість схема, яка базується на</w:t>
      </w:r>
      <w:r>
        <w:t xml:space="preserve"> </w:t>
      </w:r>
      <w:r>
        <w:rPr>
          <w:b/>
          <w:bCs/>
        </w:rPr>
        <w:t xml:space="preserve">письмовості, двопідписності, нуль‑вигоді на проживання і прозорому повідомленні</w:t>
      </w:r>
      <w:r>
        <w:t xml:space="preserve">, працює, бо в ній просто немає що “ловити”.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bookmarkEnd w:id="52"/>
    <w:bookmarkEnd w:id="53"/>
    <w:bookmarkEnd w:id="54"/>
    <w:p>
      <w:r>
        <w:pict>
          <v:rect style="width:0;height:1.5pt" o:hralign="center" o:hrstd="t" o:hr="t"/>
        </w:pict>
      </w:r>
    </w:p>
    <w:bookmarkStart w:id="5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https://www.zh.ch/de/soziales/sozialhilfe/sozialhilfehandbuch/flexdata-definition/14-auflagen-leistungskuerzung-als-sanktion-und-leistungseinstellung/14-1-auflagen--weisungen/14-1-03-auflagen-und-weisungen-mitwirkungspflichten.html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https://www.zh.ch/de/soziales/sozialhilfe/sozialhilfehandbuch/flexdata-definition/14-auflagen-leistungskuerzung-als-sanktion-und-leistungseinstellung/14-1-auflagen--weisungen/14-1-03-auflagen-und-weisungen-mitwirkungspflichten.html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https://lex.weblaw.ch/lex.php?lex_id=18872&amp;norm_id=231.1&amp;q=&amp;source=SR</w:t>
      </w:r>
    </w:p>
    <w:p>
      <w:pPr>
        <w:pStyle w:val="BodyText"/>
      </w:pPr>
      <w:hyperlink r:id="rId23">
        <w:r>
          <w:rPr>
            <w:rStyle w:val="Hyperlink"/>
          </w:rPr>
          <w:t xml:space="preserve">https://lex.weblaw.ch/lex.php?lex_id=18872&amp;norm_id=231.1&amp;q=&amp;source=SR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https://news.sbb.ch/medien/film-fotoaufnahmen-kommerzielle-zwecke</w:t>
      </w:r>
    </w:p>
    <w:p>
      <w:pPr>
        <w:pStyle w:val="BodyText"/>
      </w:pPr>
      <w:hyperlink r:id="rId24">
        <w:r>
          <w:rPr>
            <w:rStyle w:val="Hyperlink"/>
          </w:rPr>
          <w:t xml:space="preserve">https://news.sbb.ch/medien/film-fotoaufnahmen-kommerzielle-zwecke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https://lex.weblaw.ch/lex.php?lex_id=8541&amp;norm_id=210&amp;source=SR</w:t>
      </w:r>
    </w:p>
    <w:p>
      <w:pPr>
        <w:pStyle w:val="BodyText"/>
      </w:pPr>
      <w:hyperlink r:id="rId25">
        <w:r>
          <w:rPr>
            <w:rStyle w:val="Hyperlink"/>
          </w:rPr>
          <w:t xml:space="preserve">https://lex.weblaw.ch/lex.php?lex_id=8541&amp;norm_id=210&amp;source=SR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https://stach.ch/wp-content/uploads/2021/10/03-Grundlagen-und-ausgewaehlte-Fragen-des-Kunstrechts.pdf</w:t>
      </w:r>
    </w:p>
    <w:p>
      <w:pPr>
        <w:pStyle w:val="BodyText"/>
      </w:pPr>
      <w:hyperlink r:id="rId27">
        <w:r>
          <w:rPr>
            <w:rStyle w:val="Hyperlink"/>
          </w:rPr>
          <w:t xml:space="preserve">https://stach.ch/wp-content/uploads/2021/10/03-Grundlagen-und-ausgewaehlte-Fragen-des-Kunstrechts.pdf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https://www.edoeb.admin.ch/de/gemeinsame-erklaerung-zu-ki-generierten-bildern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https://www.edoeb.admin.ch/de/gemeinsame-erklaerung-zu-ki-generierten-bildern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https://lawbrary.ch/law/art/UWG-v2022.12-de-art-2/print/</w:t>
      </w:r>
    </w:p>
    <w:p>
      <w:pPr>
        <w:pStyle w:val="BodyText"/>
      </w:pPr>
      <w:hyperlink r:id="rId31">
        <w:r>
          <w:rPr>
            <w:rStyle w:val="Hyperlink"/>
          </w:rPr>
          <w:t xml:space="preserve">https://lawbrary.ch/law/art/UWG-v2022.12-de-art-2/print/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https://www.bger.ch/ext/eurospider/live/de/php/clir/http/index.php?highlight_docid=atf%3A%2F%2F135-III-446%3Ade&amp;lang=de&amp;type=show_document&amp;zoom=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https://www.bger.ch/ext/eurospider/live/de/php/clir/http/index.php?highlight_docid=atf%3A%2F%2F135-III-446%3Ade&amp;lang=de&amp;type=show_document&amp;zoom=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https://www.zh.ch/de/soziales/sozialhilfe/sozialhilfehandbuch/flexdata-definition/15-rueckerstattung-und-nachzahlung/15-1-rueckerstattung-von-unrechtmaessig-bezogenen-leistungen/15-1-01-rueckerstattung-bei-unrechtmaessigem-verhalten.html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https://www.zh.ch/de/soziales/sozialhilfe/sozialhilfehandbuch/flexdata-definition/15-rueckerstattung-und-nachzahlung/15-1-rueckerstattung-von-unrechtmaessig-bezogenen-leistungen/15-1-01-rueckerstattung-bei-unrechtmaessigem-verhalten.html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https://www.bger.ch/ext/eurospider/live/de/php/aza/http/index.php?highlight_docid=aza%3A%2F%2F04-12-2019-6B_1015-2019&amp;lang=de&amp;type=show_document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https://www.bger.ch/ext/eurospider/live/de/php/aza/http/index.php?highlight_docid=aza%3A%2F%2F04-12-2019-6B_1015-2019&amp;lang=de&amp;type=show_document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https://www.stadt-zuerich.ch/de/lebenslagen/unterstuetzung-und-beratung/finanzielle-unterstuetzung/sozialhilfe.html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https://www.stadt-zuerich.ch/de/lebenslagen/unterstuetzung-und-beratung/finanzielle-unterstuetzung/sozialhilfe.html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https://storylab.migros-kulturprozent.ch/wp-content/uploads/2025/11/2025_Richtlinien-Migros-Kulturprozent-Story-Lab_DDEF.pdf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https://storylab.migros-kulturprozent.ch/wp-content/uploads/2025/11/2025_Richtlinien-Migros-Kulturprozent-Story-Lab_DDEF.pdf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https://www.alda-europe.eu/call/culture-helps-solidarity-regrant-creative-europe/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https://www.alda-europe.eu/call/culture-helps-solidarity-regrant-creative-europe/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https://culturehelpssolidarity.eu/</w:t>
      </w:r>
    </w:p>
    <w:p>
      <w:pPr>
        <w:pStyle w:val="BodyText"/>
      </w:pPr>
      <w:hyperlink r:id="rId40">
        <w:r>
          <w:rPr>
            <w:rStyle w:val="Hyperlink"/>
          </w:rPr>
          <w:t xml:space="preserve">https://culturehelpssolidarity.eu/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https://www.fedlex.admin.ch/eli/cc/24/233_245_233/de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https://www.fedlex.admin.ch/eli/cc/24/233_245_233/de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https://www.zh.ch/content/dam/zhweb/bilder-dokumente/themen/wirtschaft-arbeit/handelsregister/verein/verein_merkblatt_eintragungspflicht.pdf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https://www.zh.ch/content/dam/zhweb/bilder-dokumente/themen/wirtschaft-arbeit/handelsregister/verein/verein_merkblatt_eintragungspflicht.pdf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https://www.zh.ch/de/soziales/sozialhilfe/sozialhilfehandbuch/flexdata-definition/17-ansprueche-gegenueber-dritten/17-6-freiwillige-leistungen-dritter/17-6-01-freiwillige-leistungen-dritter.html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https://www.zh.ch/de/soziales/sozialhilfe/sozialhilfehandbuch/flexdata-definition/17-ansprueche-gegenueber-dritten/17-6-freiwillige-leistungen-dritter/17-6-01-freiwillige-leistungen-dritter.html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https://www.zh.ch/de/soziales/sozialhilfe/sozialhilfehandbuch/flexdata-definition/8-situationsbedingte-leistungen-wsh/8-2-zulagen/8-2-01-integrationszulage-izu-fuer-nicht-erwerbstaetige.html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https://www.zh.ch/de/soziales/sozialhilfe/sozialhilfehandbuch/flexdata-definition/8-situationsbedingte-leistungen-wsh/8-2-zulagen/8-2-01-integrationszulage-izu-fuer-nicht-erwerbstaetige.html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https://www.zh.ch/de/wirtschaft-arbeit/erwerbstaetigkeit-auslaender/erwerbstaetige-im-asylbereich/selbstaendige-melden.html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https://www.zh.ch/de/wirtschaft-arbeit/erwerbstaetigkeit-auslaender/erwerbstaetige-im-asylbereich/selbstaendige-melden.html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culturehelpssolidarity.eu/" TargetMode="External" /><Relationship Type="http://schemas.openxmlformats.org/officeDocument/2006/relationships/hyperlink" Id="rId31" Target="https://lawbrary.ch/law/art/UWG-v2022.12-de-art-2/print/" TargetMode="External" /><Relationship Type="http://schemas.openxmlformats.org/officeDocument/2006/relationships/hyperlink" Id="rId23" Target="https://lex.weblaw.ch/lex.php?lex_id=18872&amp;norm_id=231.1&amp;q=&amp;source=SR" TargetMode="External" /><Relationship Type="http://schemas.openxmlformats.org/officeDocument/2006/relationships/hyperlink" Id="rId25" Target="https://lex.weblaw.ch/lex.php?lex_id=8541&amp;norm_id=210&amp;source=SR" TargetMode="External" /><Relationship Type="http://schemas.openxmlformats.org/officeDocument/2006/relationships/hyperlink" Id="rId24" Target="https://news.sbb.ch/medien/film-fotoaufnahmen-kommerzielle-zwecke" TargetMode="External" /><Relationship Type="http://schemas.openxmlformats.org/officeDocument/2006/relationships/hyperlink" Id="rId27" Target="https://stach.ch/wp-content/uploads/2021/10/03-Grundlagen-und-ausgewaehlte-Fragen-des-Kunstrechts.pdf" TargetMode="External" /><Relationship Type="http://schemas.openxmlformats.org/officeDocument/2006/relationships/hyperlink" Id="rId38" Target="https://storylab.migros-kulturprozent.ch/wp-content/uploads/2025/11/2025_Richtlinien-Migros-Kulturprozent-Story-Lab_DDEF.pdf" TargetMode="External" /><Relationship Type="http://schemas.openxmlformats.org/officeDocument/2006/relationships/hyperlink" Id="rId39" Target="https://www.alda-europe.eu/call/culture-helps-solidarity-regrant-creative-europe/" TargetMode="External" /><Relationship Type="http://schemas.openxmlformats.org/officeDocument/2006/relationships/hyperlink" Id="rId35" Target="https://www.bger.ch/ext/eurospider/live/de/php/aza/http/index.php?highlight_docid=aza%3A%2F%2F04-12-2019-6B_1015-2019&amp;lang=de&amp;type=show_document" TargetMode="External" /><Relationship Type="http://schemas.openxmlformats.org/officeDocument/2006/relationships/hyperlink" Id="rId32" Target="https://www.bger.ch/ext/eurospider/live/de/php/clir/http/index.php?highlight_docid=atf%3A%2F%2F135-III-446%3Ade&amp;lang=de&amp;type=show_document&amp;zoom=" TargetMode="External" /><Relationship Type="http://schemas.openxmlformats.org/officeDocument/2006/relationships/hyperlink" Id="rId28" Target="https://www.edoeb.admin.ch/de/gemeinsame-erklaerung-zu-ki-generierten-bildern" TargetMode="External" /><Relationship Type="http://schemas.openxmlformats.org/officeDocument/2006/relationships/hyperlink" Id="rId42" Target="https://www.fedlex.admin.ch/eli/cc/24/233_245_233/de" TargetMode="External" /><Relationship Type="http://schemas.openxmlformats.org/officeDocument/2006/relationships/hyperlink" Id="rId36" Target="https://www.stadt-zuerich.ch/de/lebenslagen/unterstuetzung-und-beratung/finanzielle-unterstuetzung/sozialhilfe.html" TargetMode="External" /><Relationship Type="http://schemas.openxmlformats.org/officeDocument/2006/relationships/hyperlink" Id="rId43" Target="https://www.zh.ch/content/dam/zhweb/bilder-dokumente/themen/wirtschaft-arbeit/handelsregister/verein/verein_merkblatt_eintragungspflicht.pdf" TargetMode="External" /><Relationship Type="http://schemas.openxmlformats.org/officeDocument/2006/relationships/hyperlink" Id="rId21" Target="https://www.zh.ch/de/soziales/sozialhilfe/sozialhilfehandbuch/flexdata-definition/14-auflagen-leistungskuerzung-als-sanktion-und-leistungseinstellung/14-1-auflagen--weisungen/14-1-03-auflagen-und-weisungen-mitwirkungspflichten.html" TargetMode="External" /><Relationship Type="http://schemas.openxmlformats.org/officeDocument/2006/relationships/hyperlink" Id="rId34" Target="https://www.zh.ch/de/soziales/sozialhilfe/sozialhilfehandbuch/flexdata-definition/15-rueckerstattung-und-nachzahlung/15-1-rueckerstattung-von-unrechtmaessig-bezogenen-leistungen/15-1-01-rueckerstattung-bei-unrechtmaessigem-verhalten.html" TargetMode="External" /><Relationship Type="http://schemas.openxmlformats.org/officeDocument/2006/relationships/hyperlink" Id="rId45" Target="https://www.zh.ch/de/soziales/sozialhilfe/sozialhilfehandbuch/flexdata-definition/17-ansprueche-gegenueber-dritten/17-6-freiwillige-leistungen-dritter/17-6-01-freiwillige-leistungen-dritter.html" TargetMode="External" /><Relationship Type="http://schemas.openxmlformats.org/officeDocument/2006/relationships/hyperlink" Id="rId48" Target="https://www.zh.ch/de/soziales/sozialhilfe/sozialhilfehandbuch/flexdata-definition/8-situationsbedingte-leistungen-wsh/8-2-zulagen/8-2-01-integrationszulage-izu-fuer-nicht-erwerbstaetige.html" TargetMode="External" /><Relationship Type="http://schemas.openxmlformats.org/officeDocument/2006/relationships/hyperlink" Id="rId49" Target="https://www.zh.ch/de/wirtschaft-arbeit/erwerbstaetigkeit-auslaender/erwerbstaetige-im-asylbereich/selbstaendige-melde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culturehelpssolidarity.eu/" TargetMode="External" /><Relationship Type="http://schemas.openxmlformats.org/officeDocument/2006/relationships/hyperlink" Id="rId31" Target="https://lawbrary.ch/law/art/UWG-v2022.12-de-art-2/print/" TargetMode="External" /><Relationship Type="http://schemas.openxmlformats.org/officeDocument/2006/relationships/hyperlink" Id="rId23" Target="https://lex.weblaw.ch/lex.php?lex_id=18872&amp;norm_id=231.1&amp;q=&amp;source=SR" TargetMode="External" /><Relationship Type="http://schemas.openxmlformats.org/officeDocument/2006/relationships/hyperlink" Id="rId25" Target="https://lex.weblaw.ch/lex.php?lex_id=8541&amp;norm_id=210&amp;source=SR" TargetMode="External" /><Relationship Type="http://schemas.openxmlformats.org/officeDocument/2006/relationships/hyperlink" Id="rId24" Target="https://news.sbb.ch/medien/film-fotoaufnahmen-kommerzielle-zwecke" TargetMode="External" /><Relationship Type="http://schemas.openxmlformats.org/officeDocument/2006/relationships/hyperlink" Id="rId27" Target="https://stach.ch/wp-content/uploads/2021/10/03-Grundlagen-und-ausgewaehlte-Fragen-des-Kunstrechts.pdf" TargetMode="External" /><Relationship Type="http://schemas.openxmlformats.org/officeDocument/2006/relationships/hyperlink" Id="rId38" Target="https://storylab.migros-kulturprozent.ch/wp-content/uploads/2025/11/2025_Richtlinien-Migros-Kulturprozent-Story-Lab_DDEF.pdf" TargetMode="External" /><Relationship Type="http://schemas.openxmlformats.org/officeDocument/2006/relationships/hyperlink" Id="rId39" Target="https://www.alda-europe.eu/call/culture-helps-solidarity-regrant-creative-europe/" TargetMode="External" /><Relationship Type="http://schemas.openxmlformats.org/officeDocument/2006/relationships/hyperlink" Id="rId35" Target="https://www.bger.ch/ext/eurospider/live/de/php/aza/http/index.php?highlight_docid=aza%3A%2F%2F04-12-2019-6B_1015-2019&amp;lang=de&amp;type=show_document" TargetMode="External" /><Relationship Type="http://schemas.openxmlformats.org/officeDocument/2006/relationships/hyperlink" Id="rId32" Target="https://www.bger.ch/ext/eurospider/live/de/php/clir/http/index.php?highlight_docid=atf%3A%2F%2F135-III-446%3Ade&amp;lang=de&amp;type=show_document&amp;zoom=" TargetMode="External" /><Relationship Type="http://schemas.openxmlformats.org/officeDocument/2006/relationships/hyperlink" Id="rId28" Target="https://www.edoeb.admin.ch/de/gemeinsame-erklaerung-zu-ki-generierten-bildern" TargetMode="External" /><Relationship Type="http://schemas.openxmlformats.org/officeDocument/2006/relationships/hyperlink" Id="rId42" Target="https://www.fedlex.admin.ch/eli/cc/24/233_245_233/de" TargetMode="External" /><Relationship Type="http://schemas.openxmlformats.org/officeDocument/2006/relationships/hyperlink" Id="rId36" Target="https://www.stadt-zuerich.ch/de/lebenslagen/unterstuetzung-und-beratung/finanzielle-unterstuetzung/sozialhilfe.html" TargetMode="External" /><Relationship Type="http://schemas.openxmlformats.org/officeDocument/2006/relationships/hyperlink" Id="rId43" Target="https://www.zh.ch/content/dam/zhweb/bilder-dokumente/themen/wirtschaft-arbeit/handelsregister/verein/verein_merkblatt_eintragungspflicht.pdf" TargetMode="External" /><Relationship Type="http://schemas.openxmlformats.org/officeDocument/2006/relationships/hyperlink" Id="rId21" Target="https://www.zh.ch/de/soziales/sozialhilfe/sozialhilfehandbuch/flexdata-definition/14-auflagen-leistungskuerzung-als-sanktion-und-leistungseinstellung/14-1-auflagen--weisungen/14-1-03-auflagen-und-weisungen-mitwirkungspflichten.html" TargetMode="External" /><Relationship Type="http://schemas.openxmlformats.org/officeDocument/2006/relationships/hyperlink" Id="rId34" Target="https://www.zh.ch/de/soziales/sozialhilfe/sozialhilfehandbuch/flexdata-definition/15-rueckerstattung-und-nachzahlung/15-1-rueckerstattung-von-unrechtmaessig-bezogenen-leistungen/15-1-01-rueckerstattung-bei-unrechtmaessigem-verhalten.html" TargetMode="External" /><Relationship Type="http://schemas.openxmlformats.org/officeDocument/2006/relationships/hyperlink" Id="rId45" Target="https://www.zh.ch/de/soziales/sozialhilfe/sozialhilfehandbuch/flexdata-definition/17-ansprueche-gegenueber-dritten/17-6-freiwillige-leistungen-dritter/17-6-01-freiwillige-leistungen-dritter.html" TargetMode="External" /><Relationship Type="http://schemas.openxmlformats.org/officeDocument/2006/relationships/hyperlink" Id="rId48" Target="https://www.zh.ch/de/soziales/sozialhilfe/sozialhilfehandbuch/flexdata-definition/8-situationsbedingte-leistungen-wsh/8-2-zulagen/8-2-01-integrationszulage-izu-fuer-nicht-erwerbstaetige.html" TargetMode="External" /><Relationship Type="http://schemas.openxmlformats.org/officeDocument/2006/relationships/hyperlink" Id="rId49" Target="https://www.zh.ch/de/wirtschaft-arbeit/erwerbstaetigkeit-auslaender/erwerbstaetige-im-asylbereich/selbstaendige-melde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uk</dc:language>
  <cp:keywords/>
  <dcterms:created xsi:type="dcterms:W3CDTF">2026-04-15T13:43:37Z</dcterms:created>
  <dcterms:modified xsi:type="dcterms:W3CDTF">2026-04-15T13:43:37Z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