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Office Moves Guide</w:t>
      </w:r>
    </w:p>
    <w:p>
      <w:r>
        <w:t>Moves are coordinated by the workplace team two weeks ahead.</w:t>
      </w:r>
    </w:p>
    <w:p>
      <w:pPr>
        <w:pStyle w:val="Heading2"/>
      </w:pPr>
      <w:r>
        <w:t>Packing</w:t>
      </w:r>
    </w:p>
    <w:p>
      <w:pPr>
        <w:pStyle w:val="ListBullet"/>
      </w:pPr>
      <w:r>
        <w:t>Each employee receives three crates.</w:t>
      </w:r>
    </w:p>
    <w:p>
      <w:pPr>
        <w:pStyle w:val="ListBullet"/>
      </w:pPr>
      <w:r>
        <w:t>Monitors are packed by the movers.</w:t>
      </w:r>
    </w:p>
    <w:p>
      <w:pPr>
        <w:pStyle w:val="Heading2"/>
      </w:pPr>
      <w:r>
        <w:t>Costs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Crates</w:t>
            </w:r>
          </w:p>
        </w:tc>
        <w:tc>
          <w:tcPr>
            <w:tcW w:type="dxa" w:w="4320"/>
          </w:tcPr>
          <w:p>
            <w:r>
              <w:t>$40</w:t>
            </w:r>
          </w:p>
        </w:tc>
      </w:tr>
      <w:tr>
        <w:tc>
          <w:tcPr>
            <w:tcW w:type="dxa" w:w="4320"/>
          </w:tcPr>
          <w:p>
            <w:r>
              <w:t>Movers</w:t>
            </w:r>
          </w:p>
        </w:tc>
        <w:tc>
          <w:tcPr>
            <w:tcW w:type="dxa" w:w="4320"/>
          </w:tcPr>
          <w:p>
            <w:r>
              <w:t>$1,200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Moves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