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FY2026 Financial Forecast (Version 1)</w:t>
      </w:r>
    </w:p>
    <w:p>
      <w:r>
        <w:rPr>
          <w:b w:val="0"/>
          <w:i w:val="0"/>
        </w:rPr>
      </w:r>
      <w:r>
        <w:rPr>
          <w:b/>
          <w:i w:val="0"/>
        </w:rPr>
        <w:t>Version:</w:t>
      </w:r>
      <w:r>
        <w:rPr>
          <w:b w:val="0"/>
          <w:i w:val="0"/>
        </w:rPr>
        <w:t xml:space="preserve"> 1.0 (original annual plan)</w:t>
      </w:r>
      <w:r>
        <w:t xml:space="preserve"> </w:t>
      </w:r>
      <w:r>
        <w:rPr>
          <w:b w:val="0"/>
          <w:i w:val="0"/>
        </w:rPr>
      </w:r>
      <w:r>
        <w:rPr>
          <w:b/>
          <w:i w:val="0"/>
        </w:rPr>
        <w:t>Prepared by:</w:t>
      </w:r>
      <w:r>
        <w:rPr>
          <w:b w:val="0"/>
          <w:i w:val="0"/>
        </w:rPr>
        <w:t xml:space="preserve"> FP&amp;A team</w:t>
      </w:r>
      <w:r>
        <w:t xml:space="preserve"> </w:t>
      </w:r>
      <w:r>
        <w:rPr>
          <w:b w:val="0"/>
          <w:i w:val="0"/>
        </w:rPr>
      </w:r>
      <w:r>
        <w:rPr>
          <w:b/>
          <w:i w:val="0"/>
        </w:rPr>
        <w:t>Approved by:</w:t>
      </w:r>
      <w:r>
        <w:rPr>
          <w:b w:val="0"/>
          <w:i w:val="0"/>
        </w:rPr>
        <w:t xml:space="preserve"> Daniel Reyes, CFO, and Maya Okafor, CEO</w:t>
      </w:r>
      <w:r>
        <w:t xml:space="preserve"> </w:t>
      </w:r>
      <w:r>
        <w:rPr>
          <w:b w:val="0"/>
          <w:i w:val="0"/>
        </w:rPr>
      </w:r>
      <w:r>
        <w:rPr>
          <w:b/>
          <w:i w:val="0"/>
        </w:rPr>
        <w:t>Date:</w:t>
      </w:r>
      <w:r>
        <w:rPr>
          <w:b w:val="0"/>
          <w:i w:val="0"/>
        </w:rPr>
        <w:t xml:space="preserve"> 20 January 2026</w:t>
      </w:r>
      <w:r>
        <w:t xml:space="preserve"> </w:t>
      </w:r>
      <w:r>
        <w:rPr>
          <w:b w:val="0"/>
          <w:i w:val="0"/>
        </w:rPr>
      </w:r>
      <w:r>
        <w:rPr>
          <w:b/>
          <w:i w:val="0"/>
        </w:rPr>
        <w:t>Board review:</w:t>
      </w:r>
      <w:r>
        <w:rPr>
          <w:b w:val="0"/>
          <w:i w:val="0"/>
        </w:rPr>
        <w:t xml:space="preserve"> 28 January 2026</w:t>
      </w:r>
    </w:p>
    <w:p>
      <w:pPr>
        <w:pStyle w:val="Heading2"/>
      </w:pPr>
      <w:r>
        <w:t>Summary</w:t>
      </w:r>
    </w:p>
    <w:p>
      <w:r>
        <w:rPr>
          <w:b w:val="0"/>
          <w:i w:val="0"/>
        </w:rPr>
        <w:t>This is the original FY2026 forecast for Northwind Labs, built bottom-up from the sales capacity model and the product roadmap for Atlas and Beacon. It sets the company targets for the fiscal year 1 January – 31 December 2026.</w:t>
      </w:r>
    </w:p>
    <w:p>
      <w:r>
        <w:rPr>
          <w:b w:val="0"/>
          <w:i w:val="0"/>
        </w:rPr>
        <w:t xml:space="preserve">The headline target for FY2026 is an </w:t>
      </w:r>
      <w:r>
        <w:rPr>
          <w:b/>
          <w:i w:val="0"/>
        </w:rPr>
        <w:t>ending ARR of $48M</w:t>
      </w:r>
      <w:r>
        <w:rPr>
          <w:b w:val="0"/>
          <w:i w:val="0"/>
        </w:rPr>
        <w:t xml:space="preserve"> (forty-eight million US dollars) at 31 December 2026, compared with $35.1M at the end of FY2025. This represents 37% ARR growth.</w:t>
      </w:r>
    </w:p>
    <w:p>
      <w:pPr>
        <w:pStyle w:val="Heading2"/>
      </w:pPr>
      <w:r>
        <w:t>Key targets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Metric</w:t>
            </w:r>
          </w:p>
        </w:tc>
        <w:tc>
          <w:tcPr>
            <w:tcW w:type="dxa" w:w="2880"/>
          </w:tcPr>
          <w:p>
            <w:r>
              <w:t>FY2025 actual</w:t>
            </w:r>
          </w:p>
        </w:tc>
        <w:tc>
          <w:tcPr>
            <w:tcW w:type="dxa" w:w="2880"/>
          </w:tcPr>
          <w:p>
            <w:r>
              <w:t>FY2026 target (v1)</w:t>
            </w:r>
          </w:p>
        </w:tc>
      </w:tr>
      <w:tr>
        <w:tc>
          <w:tcPr>
            <w:tcW w:type="dxa" w:w="2880"/>
          </w:tcPr>
          <w:p>
            <w:r>
              <w:t>Ending ARR</w:t>
            </w:r>
          </w:p>
        </w:tc>
        <w:tc>
          <w:tcPr>
            <w:tcW w:type="dxa" w:w="2880"/>
          </w:tcPr>
          <w:p>
            <w:r>
              <w:t>$35.1M</w:t>
            </w:r>
          </w:p>
        </w:tc>
        <w:tc>
          <w:tcPr>
            <w:tcW w:type="dxa" w:w="2880"/>
          </w:tcPr>
          <w:p>
            <w:r>
              <w:t>$48.0M</w:t>
            </w:r>
          </w:p>
        </w:tc>
      </w:tr>
      <w:tr>
        <w:tc>
          <w:tcPr>
            <w:tcW w:type="dxa" w:w="2880"/>
          </w:tcPr>
          <w:p>
            <w:r>
              <w:t>Total revenue</w:t>
            </w:r>
          </w:p>
        </w:tc>
        <w:tc>
          <w:tcPr>
            <w:tcW w:type="dxa" w:w="2880"/>
          </w:tcPr>
          <w:p>
            <w:r>
              <w:t>$33.2M</w:t>
            </w:r>
          </w:p>
        </w:tc>
        <w:tc>
          <w:tcPr>
            <w:tcW w:type="dxa" w:w="2880"/>
          </w:tcPr>
          <w:p>
            <w:r>
              <w:t>$43.5M</w:t>
            </w:r>
          </w:p>
        </w:tc>
      </w:tr>
      <w:tr>
        <w:tc>
          <w:tcPr>
            <w:tcW w:type="dxa" w:w="2880"/>
          </w:tcPr>
          <w:p>
            <w:r>
              <w:t>Gross margin</w:t>
            </w:r>
          </w:p>
        </w:tc>
        <w:tc>
          <w:tcPr>
            <w:tcW w:type="dxa" w:w="2880"/>
          </w:tcPr>
          <w:p>
            <w:r>
              <w:t>76.0%</w:t>
            </w:r>
          </w:p>
        </w:tc>
        <w:tc>
          <w:tcPr>
            <w:tcW w:type="dxa" w:w="2880"/>
          </w:tcPr>
          <w:p>
            <w:r>
              <w:t>78.5%</w:t>
            </w:r>
          </w:p>
        </w:tc>
      </w:tr>
      <w:tr>
        <w:tc>
          <w:tcPr>
            <w:tcW w:type="dxa" w:w="2880"/>
          </w:tcPr>
          <w:p>
            <w:r>
              <w:t>Net revenue retention</w:t>
            </w:r>
          </w:p>
        </w:tc>
        <w:tc>
          <w:tcPr>
            <w:tcW w:type="dxa" w:w="2880"/>
          </w:tcPr>
          <w:p>
            <w:r>
              <w:t>112%</w:t>
            </w:r>
          </w:p>
        </w:tc>
        <w:tc>
          <w:tcPr>
            <w:tcW w:type="dxa" w:w="2880"/>
          </w:tcPr>
          <w:p>
            <w:r>
              <w:t>116%</w:t>
            </w:r>
          </w:p>
        </w:tc>
      </w:tr>
      <w:tr>
        <w:tc>
          <w:tcPr>
            <w:tcW w:type="dxa" w:w="2880"/>
          </w:tcPr>
          <w:p>
            <w:r>
              <w:t>Operating margin</w:t>
            </w:r>
          </w:p>
        </w:tc>
        <w:tc>
          <w:tcPr>
            <w:tcW w:type="dxa" w:w="2880"/>
          </w:tcPr>
          <w:p>
            <w:r>
              <w:t>-11.0%</w:t>
            </w:r>
          </w:p>
        </w:tc>
        <w:tc>
          <w:tcPr>
            <w:tcW w:type="dxa" w:w="2880"/>
          </w:tcPr>
          <w:p>
            <w:r>
              <w:t>-4.0%</w:t>
            </w:r>
          </w:p>
        </w:tc>
      </w:tr>
      <w:tr>
        <w:tc>
          <w:tcPr>
            <w:tcW w:type="dxa" w:w="2880"/>
          </w:tcPr>
          <w:p>
            <w:r>
              <w:t>Year-end cash</w:t>
            </w:r>
          </w:p>
        </w:tc>
        <w:tc>
          <w:tcPr>
            <w:tcW w:type="dxa" w:w="2880"/>
          </w:tcPr>
          <w:p>
            <w:r>
              <w:t>$36.2M</w:t>
            </w:r>
          </w:p>
        </w:tc>
        <w:tc>
          <w:tcPr>
            <w:tcW w:type="dxa" w:w="2880"/>
          </w:tcPr>
          <w:p>
            <w:r>
              <w:t>$29.0M</w:t>
            </w:r>
          </w:p>
        </w:tc>
      </w:tr>
    </w:tbl>
    <w:p>
      <w:pPr>
        <w:pStyle w:val="Heading2"/>
      </w:pPr>
      <w:r>
        <w:t>Quarterly ARR path (v1)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Quarter end</w:t>
            </w:r>
          </w:p>
        </w:tc>
        <w:tc>
          <w:tcPr>
            <w:tcW w:type="dxa" w:w="4320"/>
          </w:tcPr>
          <w:p>
            <w:r>
              <w:t>Target ARR</w:t>
            </w:r>
          </w:p>
        </w:tc>
      </w:tr>
      <w:tr>
        <w:tc>
          <w:tcPr>
            <w:tcW w:type="dxa" w:w="4320"/>
          </w:tcPr>
          <w:p>
            <w:r>
              <w:t>Q1 2026</w:t>
            </w:r>
          </w:p>
        </w:tc>
        <w:tc>
          <w:tcPr>
            <w:tcW w:type="dxa" w:w="4320"/>
          </w:tcPr>
          <w:p>
            <w:r>
              <w:t>$38.4M</w:t>
            </w:r>
          </w:p>
        </w:tc>
      </w:tr>
      <w:tr>
        <w:tc>
          <w:tcPr>
            <w:tcW w:type="dxa" w:w="4320"/>
          </w:tcPr>
          <w:p>
            <w:r>
              <w:t>Q2 2026</w:t>
            </w:r>
          </w:p>
        </w:tc>
        <w:tc>
          <w:tcPr>
            <w:tcW w:type="dxa" w:w="4320"/>
          </w:tcPr>
          <w:p>
            <w:r>
              <w:t>$41.6M</w:t>
            </w:r>
          </w:p>
        </w:tc>
      </w:tr>
      <w:tr>
        <w:tc>
          <w:tcPr>
            <w:tcW w:type="dxa" w:w="4320"/>
          </w:tcPr>
          <w:p>
            <w:r>
              <w:t>Q3 2026</w:t>
            </w:r>
          </w:p>
        </w:tc>
        <w:tc>
          <w:tcPr>
            <w:tcW w:type="dxa" w:w="4320"/>
          </w:tcPr>
          <w:p>
            <w:r>
              <w:t>$44.6M</w:t>
            </w:r>
          </w:p>
        </w:tc>
      </w:tr>
      <w:tr>
        <w:tc>
          <w:tcPr>
            <w:tcW w:type="dxa" w:w="4320"/>
          </w:tcPr>
          <w:p>
            <w:r>
              <w:t>Q4 2026</w:t>
            </w:r>
          </w:p>
        </w:tc>
        <w:tc>
          <w:tcPr>
            <w:tcW w:type="dxa" w:w="4320"/>
          </w:tcPr>
          <w:p>
            <w:r>
              <w:t>$48.0M</w:t>
            </w:r>
          </w:p>
        </w:tc>
      </w:tr>
    </w:tbl>
    <w:p>
      <w:pPr>
        <w:pStyle w:val="Heading2"/>
      </w:pPr>
      <w:r>
        <w:t>Key assumptions</w:t>
      </w:r>
    </w:p>
    <w:p>
      <w:pPr>
        <w:pStyle w:val="ListBullet"/>
      </w:pPr>
      <w:r>
        <w:rPr>
          <w:b w:val="0"/>
          <w:i w:val="0"/>
        </w:rPr>
        <w:t>New logo bookings grow 30% year over year, driven by the expansion of the EMEA team in Berlin.</w:t>
      </w:r>
    </w:p>
    <w:p>
      <w:pPr>
        <w:pStyle w:val="ListBullet"/>
      </w:pPr>
      <w:r>
        <w:rPr>
          <w:b w:val="0"/>
          <w:i w:val="0"/>
        </w:rPr>
        <w:t>Atlas 5 general availability in June 2026, enabling a price uplift of 8% on new Enterprise contracts.</w:t>
      </w:r>
    </w:p>
    <w:p>
      <w:pPr>
        <w:pStyle w:val="ListBullet"/>
      </w:pPr>
      <w:r>
        <w:rPr>
          <w:b w:val="0"/>
          <w:i w:val="0"/>
        </w:rPr>
        <w:t>Beacon attach rate on new Enterprise deals of 45%.</w:t>
      </w:r>
    </w:p>
    <w:p>
      <w:pPr>
        <w:pStyle w:val="ListBullet"/>
      </w:pPr>
      <w:r>
        <w:rPr>
          <w:b w:val="0"/>
          <w:i w:val="0"/>
        </w:rPr>
        <w:t>Gross revenue retention of 92%.</w:t>
      </w:r>
    </w:p>
    <w:p>
      <w:pPr>
        <w:pStyle w:val="ListBullet"/>
      </w:pPr>
      <w:r>
        <w:rPr>
          <w:b w:val="0"/>
          <w:i w:val="0"/>
        </w:rPr>
        <w:t>Cloud hosting unit costs fall 6% after the reserved-capacity migration.</w:t>
      </w:r>
    </w:p>
    <w:p>
      <w:pPr>
        <w:pStyle w:val="Heading2"/>
      </w:pPr>
      <w:r>
        <w:t>Risks</w:t>
      </w:r>
    </w:p>
    <w:p>
      <w:pPr>
        <w:pStyle w:val="ListBullet"/>
      </w:pPr>
      <w:r>
        <w:rPr>
          <w:b w:val="0"/>
          <w:i w:val="0"/>
        </w:rPr>
        <w:t>A delay of Atlas 5 would shift Enterprise price uplift into the second half.</w:t>
      </w:r>
    </w:p>
    <w:p>
      <w:pPr>
        <w:pStyle w:val="ListBullet"/>
      </w:pPr>
      <w:r>
        <w:rPr>
          <w:b w:val="0"/>
          <w:i w:val="0"/>
        </w:rPr>
        <w:t>EMEA hiring delays could reduce new logo capacity.</w:t>
      </w:r>
    </w:p>
    <w:p>
      <w:pPr>
        <w:pStyle w:val="ListBullet"/>
      </w:pPr>
      <w:r>
        <w:rPr>
          <w:b w:val="0"/>
          <w:i w:val="0"/>
        </w:rPr>
        <w:t>Foreign exchange exposure on euro-denominated payroll.</w:t>
      </w:r>
    </w:p>
    <w:p>
      <w:pPr>
        <w:pStyle w:val="Heading2"/>
      </w:pPr>
      <w:r>
        <w:t>Revision policy</w:t>
      </w:r>
    </w:p>
    <w:p>
      <w:r>
        <w:rPr>
          <w:b w:val="0"/>
          <w:i w:val="0"/>
        </w:rPr>
        <w:t>The forecast is re-issued after the close of each half-year if actual results deviate from plan by more than 3% on ARR. A revised version supersedes this document in full.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FY2026 Financial Forecast (Version 1)</dc:title>
  <dc:subject/>
  <dc:creator>Daniel Reyes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