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Month-End Close Checklist</w:t>
      </w:r>
    </w:p>
    <w:p>
      <w:r>
        <w:rPr>
          <w:b w:val="0"/>
          <w:i w:val="0"/>
        </w:rPr>
      </w:r>
      <w:r>
        <w:rPr>
          <w:b/>
          <w:i w:val="0"/>
        </w:rPr>
        <w:t>Owner:</w:t>
      </w:r>
      <w:r>
        <w:rPr>
          <w:b w:val="0"/>
          <w:i w:val="0"/>
        </w:rPr>
        <w:t xml:space="preserve"> Elena Petrova, Controller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Applies to:</w:t>
      </w:r>
      <w:r>
        <w:rPr>
          <w:b w:val="0"/>
          <w:i w:val="0"/>
        </w:rPr>
        <w:t xml:space="preserve"> Finance Operations, FP&amp;A, and budget owners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Target:</w:t>
      </w:r>
      <w:r>
        <w:rPr>
          <w:b w:val="0"/>
          <w:i w:val="0"/>
        </w:rPr>
        <w:t xml:space="preserve"> close the books by business day 6 (BD6) after month end</w:t>
      </w:r>
    </w:p>
    <w:p>
      <w:r>
        <w:rPr>
          <w:b w:val="0"/>
          <w:i w:val="0"/>
        </w:rPr>
        <w:t>Northwind Labs closes its books monthly in NetSuite. The close calendar counts business days (BD) after the last calendar day of the month, using the Lisbon public holiday calendar. Quarter-end months (March, June, September, December) follow the same checklist with the additional steps in the last section.</w:t>
      </w:r>
    </w:p>
    <w:p>
      <w:pPr>
        <w:pStyle w:val="Heading2"/>
      </w:pPr>
      <w:r>
        <w:t>Before month end (BD-3 to BD0)</w:t>
      </w:r>
    </w:p>
    <w:p>
      <w:pPr>
        <w:pStyle w:val="ListNumber"/>
      </w:pPr>
      <w:r>
        <w:rPr>
          <w:b w:val="0"/>
          <w:i w:val="0"/>
        </w:rPr>
        <w:t>Remind budget owners in #finance-announcements to confirm goods receipts for open purchase orders in Ramp.</w:t>
      </w:r>
    </w:p>
    <w:p>
      <w:pPr>
        <w:pStyle w:val="ListNumber"/>
      </w:pPr>
      <w:r>
        <w:rPr>
          <w:b w:val="0"/>
          <w:i w:val="0"/>
        </w:rPr>
        <w:t>Expensify: remind employees that expense reports submitted after BD0, 18:00 Lisbon time, are included in the following month's close.</w:t>
      </w:r>
    </w:p>
    <w:p>
      <w:pPr>
        <w:pStyle w:val="ListNumber"/>
      </w:pPr>
      <w:r>
        <w:rPr>
          <w:b w:val="0"/>
          <w:i w:val="0"/>
        </w:rPr>
        <w:t>Confirm the payroll files for Portugal, Germany, Poland and the US have been received from the People team via Workday.</w:t>
      </w:r>
    </w:p>
    <w:p>
      <w:pPr>
        <w:pStyle w:val="ListNumber"/>
      </w:pPr>
      <w:r>
        <w:rPr>
          <w:b w:val="0"/>
          <w:i w:val="0"/>
        </w:rPr>
        <w:t>Freeze vendor master data changes from BD-1 until BD3.</w:t>
      </w:r>
    </w:p>
    <w:p>
      <w:pPr>
        <w:pStyle w:val="Heading2"/>
      </w:pPr>
      <w:r>
        <w:t>BD1</w:t>
      </w:r>
    </w:p>
    <w:p>
      <w:pPr>
        <w:pStyle w:val="ListNumber"/>
      </w:pPr>
      <w:r>
        <w:rPr>
          <w:b w:val="0"/>
          <w:i w:val="0"/>
        </w:rPr>
        <w:t>Run the revenue recognition schedule for Atlas and Beacon subscriptions in NetSuite.</w:t>
      </w:r>
    </w:p>
    <w:p>
      <w:pPr>
        <w:pStyle w:val="ListNumber"/>
      </w:pPr>
      <w:r>
        <w:rPr>
          <w:b w:val="0"/>
          <w:i w:val="0"/>
        </w:rPr>
        <w:t>Import Salesforce closed-won bookings and reconcile with billing.</w:t>
      </w:r>
    </w:p>
    <w:p>
      <w:pPr>
        <w:pStyle w:val="ListNumber"/>
      </w:pPr>
      <w:r>
        <w:rPr>
          <w:b w:val="0"/>
          <w:i w:val="0"/>
        </w:rPr>
        <w:t>Book payroll journal entries for all four entities.</w:t>
      </w:r>
    </w:p>
    <w:p>
      <w:pPr>
        <w:pStyle w:val="ListNumber"/>
      </w:pPr>
      <w:r>
        <w:rPr>
          <w:b w:val="0"/>
          <w:i w:val="0"/>
        </w:rPr>
        <w:t>Download bank statements and start bank reconciliations.</w:t>
      </w:r>
    </w:p>
    <w:p>
      <w:pPr>
        <w:pStyle w:val="Heading2"/>
      </w:pPr>
      <w:r>
        <w:t>BD2</w:t>
      </w:r>
    </w:p>
    <w:p>
      <w:pPr>
        <w:pStyle w:val="ListNumber"/>
      </w:pPr>
      <w:r>
        <w:rPr>
          <w:b w:val="0"/>
          <w:i w:val="0"/>
        </w:rPr>
      </w:r>
      <w:r>
        <w:rPr>
          <w:b/>
          <w:i w:val="0"/>
        </w:rPr>
        <w:t>Accruals deadline:</w:t>
      </w:r>
      <w:r>
        <w:rPr>
          <w:b w:val="0"/>
          <w:i w:val="0"/>
        </w:rPr>
        <w:t xml:space="preserve"> budget owners must submit accrual requests for goods or services received but not yet invoiced by </w:t>
      </w:r>
      <w:r>
        <w:rPr>
          <w:b/>
          <w:i w:val="0"/>
        </w:rPr>
        <w:t>BD2 at 12:00 Lisbon time</w:t>
      </w:r>
      <w:r>
        <w:rPr>
          <w:b w:val="0"/>
          <w:i w:val="0"/>
        </w:rPr>
        <w:t xml:space="preserve"> using the accrual form in Notion. Requests received later are booked in the following month.</w:t>
      </w:r>
    </w:p>
    <w:p>
      <w:pPr>
        <w:pStyle w:val="ListNumber"/>
      </w:pPr>
      <w:r>
        <w:rPr>
          <w:b w:val="0"/>
          <w:i w:val="0"/>
        </w:rPr>
        <w:t>Book prepaid expense amortization (software subscriptions, insurance).</w:t>
      </w:r>
    </w:p>
    <w:p>
      <w:pPr>
        <w:pStyle w:val="ListNumber"/>
      </w:pPr>
      <w:r>
        <w:rPr>
          <w:b w:val="0"/>
          <w:i w:val="0"/>
        </w:rPr>
        <w:t>Book fixed asset depreciation.</w:t>
      </w:r>
    </w:p>
    <w:p>
      <w:pPr>
        <w:pStyle w:val="Heading2"/>
      </w:pPr>
      <w:r>
        <w:t>BD3</w:t>
      </w:r>
    </w:p>
    <w:p>
      <w:pPr>
        <w:pStyle w:val="ListNumber"/>
      </w:pPr>
      <w:r>
        <w:rPr>
          <w:b w:val="0"/>
          <w:i w:val="0"/>
        </w:rPr>
        <w:t>Complete bank reconciliations for all accounts; unreconciled items over $1,000 must be explained.</w:t>
      </w:r>
    </w:p>
    <w:p>
      <w:pPr>
        <w:pStyle w:val="ListNumber"/>
      </w:pPr>
      <w:r>
        <w:rPr>
          <w:b w:val="0"/>
          <w:i w:val="0"/>
        </w:rPr>
        <w:t>Book intercompany charges between Northwind Labs Lda (Portugal), Northwind Labs GmbH (Germany), Northwind Labs sp. z o.o. (Poland) and Northwind Labs Inc. (US).</w:t>
      </w:r>
    </w:p>
    <w:p>
      <w:pPr>
        <w:pStyle w:val="ListNumber"/>
      </w:pPr>
      <w:r>
        <w:rPr>
          <w:b w:val="0"/>
          <w:i w:val="0"/>
        </w:rPr>
        <w:t>Revalue foreign currency balances at month-end rates.</w:t>
      </w:r>
    </w:p>
    <w:p>
      <w:pPr>
        <w:pStyle w:val="Heading2"/>
      </w:pPr>
      <w:r>
        <w:t>BD4</w:t>
      </w:r>
    </w:p>
    <w:p>
      <w:pPr>
        <w:pStyle w:val="ListNumber"/>
      </w:pPr>
      <w:r>
        <w:rPr>
          <w:b w:val="0"/>
          <w:i w:val="0"/>
        </w:rPr>
        <w:t>Reconcile all balance sheet accounts above $10,000. Each reconciliation needs a preparer and a reviewer.</w:t>
      </w:r>
    </w:p>
    <w:p>
      <w:pPr>
        <w:pStyle w:val="ListNumber"/>
      </w:pPr>
      <w:r>
        <w:rPr>
          <w:b w:val="0"/>
          <w:i w:val="0"/>
        </w:rPr>
        <w:t>Review deferred revenue roll-forward against the billing system.</w:t>
      </w:r>
    </w:p>
    <w:p>
      <w:pPr>
        <w:pStyle w:val="ListNumber"/>
      </w:pPr>
      <w:r>
        <w:rPr>
          <w:b w:val="0"/>
          <w:i w:val="0"/>
        </w:rPr>
        <w:t>FP&amp;A prepares the preliminary budget-versus-actual report by cost center.</w:t>
      </w:r>
    </w:p>
    <w:p>
      <w:pPr>
        <w:pStyle w:val="Heading2"/>
      </w:pPr>
      <w:r>
        <w:t>BD5</w:t>
      </w:r>
    </w:p>
    <w:p>
      <w:pPr>
        <w:pStyle w:val="ListNumber"/>
      </w:pPr>
      <w:r>
        <w:rPr>
          <w:b w:val="0"/>
          <w:i w:val="0"/>
        </w:rPr>
        <w:t>Controller review of the trial balance and flux analysis (month-over-month variances above 10% and $25,000).</w:t>
      </w:r>
    </w:p>
    <w:p>
      <w:pPr>
        <w:pStyle w:val="ListNumber"/>
      </w:pPr>
      <w:r>
        <w:rPr>
          <w:b w:val="0"/>
          <w:i w:val="0"/>
        </w:rPr>
        <w:t>Budget owners receive their budget-versus-actual report and have 24 hours to comment.</w:t>
      </w:r>
    </w:p>
    <w:p>
      <w:pPr>
        <w:pStyle w:val="Heading2"/>
      </w:pPr>
      <w:r>
        <w:t>BD6</w:t>
      </w:r>
    </w:p>
    <w:p>
      <w:pPr>
        <w:pStyle w:val="ListNumber"/>
      </w:pPr>
      <w:r>
        <w:rPr>
          <w:b w:val="0"/>
          <w:i w:val="0"/>
        </w:rPr>
        <w:t>Controller sign-off and period lock in NetSuite.</w:t>
      </w:r>
    </w:p>
    <w:p>
      <w:pPr>
        <w:pStyle w:val="ListNumber"/>
      </w:pPr>
      <w:r>
        <w:rPr>
          <w:b w:val="0"/>
          <w:i w:val="0"/>
        </w:rPr>
        <w:t>The CFO (Daniel Reyes) receives the monthly management pack.</w:t>
      </w:r>
    </w:p>
    <w:p>
      <w:pPr>
        <w:pStyle w:val="Heading2"/>
      </w:pPr>
      <w:r>
        <w:t>Additional quarter-end steps</w:t>
      </w:r>
    </w:p>
    <w:p>
      <w:pPr>
        <w:pStyle w:val="ListBullet"/>
      </w:pPr>
      <w:r>
        <w:rPr>
          <w:b w:val="0"/>
          <w:i w:val="0"/>
        </w:rPr>
        <w:t>Physical count of hardware inventory in each office.</w:t>
      </w:r>
    </w:p>
    <w:p>
      <w:pPr>
        <w:pStyle w:val="ListBullet"/>
      </w:pPr>
      <w:r>
        <w:rPr>
          <w:b w:val="0"/>
          <w:i w:val="0"/>
        </w:rPr>
        <w:t>Revenue cut-off testing on a sample of 25 invoices.</w:t>
      </w:r>
    </w:p>
    <w:p>
      <w:pPr>
        <w:pStyle w:val="ListBullet"/>
      </w:pPr>
      <w:r>
        <w:rPr>
          <w:b w:val="0"/>
          <w:i w:val="0"/>
        </w:rPr>
        <w:t>Quarterly management results presentation prepared for the CFO by BD10.</w:t>
      </w:r>
    </w:p>
    <w:p>
      <w:pPr>
        <w:pStyle w:val="ListBullet"/>
      </w:pPr>
      <w:r>
        <w:rPr>
          <w:b w:val="0"/>
          <w:i w:val="0"/>
        </w:rPr>
        <w:t>Audit committee pack prepared by BD15 for the external auditors.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Month-End Close Checklist</dc:title>
  <dc:subject/>
  <dc:creator>Elena Petrova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