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 Process and Rating Scale</w:t>
      </w:r>
    </w:p>
    <w:p>
      <w:r>
        <w:rPr>
          <w:b w:val="0"/>
          <w:i w:val="0"/>
        </w:rPr>
      </w:r>
      <w:r>
        <w:rPr>
          <w:b/>
          <w:i w:val="0"/>
        </w:rPr>
        <w:t>Owner:</w:t>
      </w:r>
      <w:r>
        <w:rPr>
          <w:b w:val="0"/>
          <w:i w:val="0"/>
        </w:rPr>
        <w:t xml:space="preserve"> Sofia Marques, Head of People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Audience:</w:t>
      </w:r>
      <w:r>
        <w:rPr>
          <w:b w:val="0"/>
          <w:i w:val="0"/>
        </w:rPr>
        <w:t xml:space="preserve"> People team and people managers (HR Confidential)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Tool:</w:t>
      </w:r>
      <w:r>
        <w:rPr>
          <w:b w:val="0"/>
          <w:i w:val="0"/>
        </w:rPr>
        <w:t xml:space="preserve"> Workday Performance module</w:t>
      </w:r>
    </w:p>
    <w:p>
      <w:pPr>
        <w:pStyle w:val="Heading2"/>
      </w:pPr>
      <w:r>
        <w:t>Overview</w:t>
      </w:r>
    </w:p>
    <w:p>
      <w:r>
        <w:rPr>
          <w:b w:val="0"/>
          <w:i w:val="0"/>
        </w:rPr>
        <w:t>Northwind Labs runs two performance cycles per year: a mid-year review (developmental, no rating change to pay) and a year-end review (rated, linked to the annual compensation cycle). Both cycles cover all permanent employees who joined at least 90 days before the cycle start date.</w:t>
      </w:r>
    </w:p>
    <w:p>
      <w:pPr>
        <w:pStyle w:val="Heading2"/>
      </w:pPr>
      <w:r>
        <w:t>2026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Mid-year 2026</w:t>
            </w:r>
          </w:p>
        </w:tc>
        <w:tc>
          <w:tcPr>
            <w:tcW w:type="dxa" w:w="2880"/>
          </w:tcPr>
          <w:p>
            <w:r>
              <w:t>Year-end 2026</w:t>
            </w:r>
          </w:p>
        </w:tc>
      </w:tr>
      <w:tr>
        <w:tc>
          <w:tcPr>
            <w:tcW w:type="dxa" w:w="2880"/>
          </w:tcPr>
          <w:p>
            <w:r>
              <w:t>Self-assessment opens in Workday</w:t>
            </w:r>
          </w:p>
        </w:tc>
        <w:tc>
          <w:tcPr>
            <w:tcW w:type="dxa" w:w="2880"/>
          </w:tcPr>
          <w:p>
            <w:r>
              <w:t>1 June 2026</w:t>
            </w:r>
          </w:p>
        </w:tc>
        <w:tc>
          <w:tcPr>
            <w:tcW w:type="dxa" w:w="2880"/>
          </w:tcPr>
          <w:p>
            <w:r>
              <w:t>2 November 2026</w:t>
            </w:r>
          </w:p>
        </w:tc>
      </w:tr>
      <w:tr>
        <w:tc>
          <w:tcPr>
            <w:tcW w:type="dxa" w:w="2880"/>
          </w:tcPr>
          <w:p>
            <w:r>
              <w:t>Peer feedback (3–5 peers)</w:t>
            </w:r>
          </w:p>
        </w:tc>
        <w:tc>
          <w:tcPr>
            <w:tcW w:type="dxa" w:w="2880"/>
          </w:tcPr>
          <w:p>
            <w:r>
              <w:t>1–12 June 2026</w:t>
            </w:r>
          </w:p>
        </w:tc>
        <w:tc>
          <w:tcPr>
            <w:tcW w:type="dxa" w:w="2880"/>
          </w:tcPr>
          <w:p>
            <w:r>
              <w:t>2–13 November 2026</w:t>
            </w:r>
          </w:p>
        </w:tc>
      </w:tr>
      <w:tr>
        <w:tc>
          <w:tcPr>
            <w:tcW w:type="dxa" w:w="2880"/>
          </w:tcPr>
          <w:p>
            <w:r>
              <w:t>Manager assessment due</w:t>
            </w:r>
          </w:p>
        </w:tc>
        <w:tc>
          <w:tcPr>
            <w:tcW w:type="dxa" w:w="2880"/>
          </w:tcPr>
          <w:p>
            <w:r>
              <w:t>19 June 2026</w:t>
            </w:r>
          </w:p>
        </w:tc>
        <w:tc>
          <w:tcPr>
            <w:tcW w:type="dxa" w:w="2880"/>
          </w:tcPr>
          <w:p>
            <w:r>
              <w:t>20 November 2026</w:t>
            </w:r>
          </w:p>
        </w:tc>
      </w:tr>
      <w:tr>
        <w:tc>
          <w:tcPr>
            <w:tcW w:type="dxa" w:w="2880"/>
          </w:tcPr>
          <w:p>
            <w:r>
              <w:t>Calibration sessions</w:t>
            </w:r>
          </w:p>
        </w:tc>
        <w:tc>
          <w:tcPr>
            <w:tcW w:type="dxa" w:w="2880"/>
          </w:tcPr>
          <w:p>
            <w:r>
              <w:t>23–26 June 2026</w:t>
            </w:r>
          </w:p>
        </w:tc>
        <w:tc>
          <w:tcPr>
            <w:tcW w:type="dxa" w:w="2880"/>
          </w:tcPr>
          <w:p>
            <w:r>
              <w:t>30 November – 4 December 2026</w:t>
            </w:r>
          </w:p>
        </w:tc>
      </w:tr>
      <w:tr>
        <w:tc>
          <w:tcPr>
            <w:tcW w:type="dxa" w:w="2880"/>
          </w:tcPr>
          <w:p>
            <w:r>
              <w:t>Review conversations completed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  <w:tc>
          <w:tcPr>
            <w:tcW w:type="dxa" w:w="2880"/>
          </w:tcPr>
          <w:p>
            <w:r>
              <w:t>18 December 2026</w:t>
            </w:r>
          </w:p>
        </w:tc>
      </w:tr>
    </w:tbl>
    <w:p>
      <w:r>
        <w:rPr>
          <w:b w:val="0"/>
          <w:i w:val="0"/>
        </w:rPr>
        <w:t>Calibration sessions are run per department and chaired by a People Partner. VP-level calibration for Engineering is chaired by Priya Natarajan and for Sales by Tom Lindqvist.</w:t>
      </w:r>
    </w:p>
    <w:p>
      <w:pPr>
        <w:pStyle w:val="Heading2"/>
      </w:pPr>
      <w:r>
        <w:t>Rating scale</w:t>
      </w:r>
    </w:p>
    <w:p>
      <w:r>
        <w:rPr>
          <w:b w:val="0"/>
          <w:i w:val="0"/>
        </w:rPr>
        <w:t>Northwind uses a five-point rating scale at year 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Guideline distribution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Exceptional</w:t>
            </w:r>
          </w:p>
        </w:tc>
        <w:tc>
          <w:tcPr>
            <w:tcW w:type="dxa" w:w="2160"/>
          </w:tcPr>
          <w:p>
            <w:r>
              <w:t>Consistently far exceeds expectations; a role model across the company</w:t>
            </w:r>
          </w:p>
        </w:tc>
        <w:tc>
          <w:tcPr>
            <w:tcW w:type="dxa" w:w="2160"/>
          </w:tcPr>
          <w:p>
            <w:r>
              <w:t>up to 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Exceeds</w:t>
            </w:r>
          </w:p>
        </w:tc>
        <w:tc>
          <w:tcPr>
            <w:tcW w:type="dxa" w:w="2160"/>
          </w:tcPr>
          <w:p>
            <w:r>
              <w:t>Regularly exceeds the expectations of the role and level</w:t>
            </w:r>
          </w:p>
        </w:tc>
        <w:tc>
          <w:tcPr>
            <w:tcW w:type="dxa" w:w="2160"/>
          </w:tcPr>
          <w:p>
            <w:r>
              <w:t>15–20%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Meets</w:t>
            </w:r>
          </w:p>
        </w:tc>
        <w:tc>
          <w:tcPr>
            <w:tcW w:type="dxa" w:w="2160"/>
          </w:tcPr>
          <w:p>
            <w:r>
              <w:t>Fully meets the expectations of the role and level</w:t>
            </w:r>
          </w:p>
        </w:tc>
        <w:tc>
          <w:tcPr>
            <w:tcW w:type="dxa" w:w="2160"/>
          </w:tcPr>
          <w:p>
            <w:r>
              <w:t>60–70%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Partially meets</w:t>
            </w:r>
          </w:p>
        </w:tc>
        <w:tc>
          <w:tcPr>
            <w:tcW w:type="dxa" w:w="2160"/>
          </w:tcPr>
          <w:p>
            <w:r>
              <w:t>Meets some expectations; improvement needed in specific areas</w:t>
            </w:r>
          </w:p>
        </w:tc>
        <w:tc>
          <w:tcPr>
            <w:tcW w:type="dxa" w:w="2160"/>
          </w:tcPr>
          <w:p>
            <w:r>
              <w:t>5–10%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Does not meet</w:t>
            </w:r>
          </w:p>
        </w:tc>
        <w:tc>
          <w:tcPr>
            <w:tcW w:type="dxa" w:w="2160"/>
          </w:tcPr>
          <w:p>
            <w:r>
              <w:t>Does not meet expectations; a performance improvement plan is required</w:t>
            </w:r>
          </w:p>
        </w:tc>
        <w:tc>
          <w:tcPr>
            <w:tcW w:type="dxa" w:w="2160"/>
          </w:tcPr>
          <w:p>
            <w:r>
              <w:t>up to 3%</w:t>
            </w:r>
          </w:p>
        </w:tc>
      </w:tr>
    </w:tbl>
    <w:p>
      <w:r>
        <w:rPr>
          <w:b w:val="0"/>
          <w:i w:val="0"/>
        </w:rPr>
        <w:t>The guideline distribution is applied at department level for groups of 25 or more employees. It is a guideline, not a forced curve.</w:t>
      </w:r>
    </w:p>
    <w:p>
      <w:pPr>
        <w:pStyle w:val="Heading2"/>
      </w:pPr>
      <w:r>
        <w:t>Performance improvement plans (PIP)</w:t>
      </w:r>
    </w:p>
    <w:p>
      <w:pPr>
        <w:pStyle w:val="ListBullet"/>
      </w:pPr>
      <w:r>
        <w:rPr>
          <w:b w:val="0"/>
          <w:i w:val="0"/>
        </w:rPr>
        <w:t>An employee rated 1 ("Does not meet") is placed on a PIP of 60 days.</w:t>
      </w:r>
    </w:p>
    <w:p>
      <w:pPr>
        <w:pStyle w:val="ListBullet"/>
      </w:pPr>
      <w:r>
        <w:rPr>
          <w:b w:val="0"/>
          <w:i w:val="0"/>
        </w:rPr>
        <w:t>An employee rated 2 twice in a row is placed on a PIP of 60 days.</w:t>
      </w:r>
    </w:p>
    <w:p>
      <w:pPr>
        <w:pStyle w:val="ListBullet"/>
      </w:pPr>
      <w:r>
        <w:rPr>
          <w:b w:val="0"/>
          <w:i w:val="0"/>
        </w:rPr>
        <w:t>The PIP is written by the manager with the People Partner and reviewed at 30 and 60 days.</w:t>
      </w:r>
    </w:p>
    <w:p>
      <w:pPr>
        <w:pStyle w:val="ListBullet"/>
      </w:pPr>
      <w:r>
        <w:rPr>
          <w:b w:val="0"/>
          <w:i w:val="0"/>
        </w:rPr>
        <w:t>Possible outcomes: successful completion, extension by up to 30 days, or termination following local employment law in Portugal, Germany, Poland or the US.</w:t>
      </w:r>
    </w:p>
    <w:p>
      <w:pPr>
        <w:pStyle w:val="Heading2"/>
      </w:pPr>
      <w:r>
        <w:t>Promotions</w:t>
      </w:r>
    </w:p>
    <w:p>
      <w:r>
        <w:rPr>
          <w:b w:val="0"/>
          <w:i w:val="0"/>
        </w:rPr>
        <w:t>Promotion nominations are submitted together with the year-end manager assessment. Requirements:</w:t>
      </w:r>
    </w:p>
    <w:p>
      <w:pPr>
        <w:pStyle w:val="ListBullet"/>
      </w:pPr>
      <w:r>
        <w:rPr>
          <w:b w:val="0"/>
          <w:i w:val="0"/>
        </w:rPr>
        <w:t>At least 12 months at the current level.</w:t>
      </w:r>
    </w:p>
    <w:p>
      <w:pPr>
        <w:pStyle w:val="ListBullet"/>
      </w:pPr>
      <w:r>
        <w:rPr>
          <w:b w:val="0"/>
          <w:i w:val="0"/>
        </w:rPr>
        <w:t>A rating of 4 or 5 in the current cycle.</w:t>
      </w:r>
    </w:p>
    <w:p>
      <w:pPr>
        <w:pStyle w:val="ListBullet"/>
      </w:pPr>
      <w:r>
        <w:rPr>
          <w:b w:val="0"/>
          <w:i w:val="0"/>
        </w:rPr>
        <w:t>A written case showing the employee already operates at the next level for at least two quarters.</w:t>
      </w:r>
    </w:p>
    <w:p>
      <w:r>
        <w:rPr>
          <w:b w:val="0"/>
          <w:i w:val="0"/>
        </w:rPr>
        <w:t>Promotions are approved by the department VP and the Head of People and take effect on 1 March together with merit increases.</w:t>
      </w:r>
    </w:p>
    <w:p>
      <w:pPr>
        <w:pStyle w:val="Heading2"/>
      </w:pPr>
      <w:r>
        <w:t>Confidentiality</w:t>
      </w:r>
    </w:p>
    <w:p>
      <w:r>
        <w:rPr>
          <w:b w:val="0"/>
          <w:i w:val="0"/>
        </w:rPr>
        <w:t>Individual ratings are visible only to the employee, their manager chain and the People team. Ratings must never be discussed in public Slack channels or stored outside Workday.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Process and Rating Scale</dc:title>
  <dc:subject/>
  <dc:creator>Sofia Marques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