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Protection and Privacy Policy</w:t>
      </w:r>
    </w:p>
    <w:p>
      <w:r>
        <w:rPr>
          <w:b w:val="0"/>
          <w:i w:val="0"/>
        </w:rPr>
      </w:r>
      <w:r>
        <w:rPr>
          <w:b/>
          <w:i w:val="0"/>
        </w:rPr>
        <w:t>Policy number:</w:t>
      </w:r>
      <w:r>
        <w:rPr>
          <w:b w:val="0"/>
          <w:i w:val="0"/>
        </w:rPr>
        <w:t xml:space="preserve"> POL-LGL-006</w:t>
      </w:r>
      <w:r>
        <w:t xml:space="preserve"> </w:t>
      </w:r>
      <w:r>
        <w:rPr>
          <w:b w:val="0"/>
          <w:i w:val="0"/>
        </w:rPr>
      </w:r>
      <w:r>
        <w:rPr>
          <w:b/>
          <w:i w:val="0"/>
        </w:rPr>
        <w:t>Owners:</w:t>
      </w:r>
      <w:r>
        <w:rPr>
          <w:b w:val="0"/>
          <w:i w:val="0"/>
        </w:rPr>
        <w:t xml:space="preserve"> Legal team and Jonas Weber, Head of Security</w:t>
      </w:r>
      <w:r>
        <w:t xml:space="preserve"> </w:t>
      </w:r>
      <w:r>
        <w:rPr>
          <w:b w:val="0"/>
          <w:i w:val="0"/>
        </w:rPr>
      </w:r>
      <w:r>
        <w:rPr>
          <w:b/>
          <w:i w:val="0"/>
        </w:rPr>
        <w:t>Data Protection Officer (DPO):</w:t>
      </w:r>
      <w:r>
        <w:rPr>
          <w:b w:val="0"/>
          <w:i w:val="0"/>
        </w:rPr>
        <w:t xml:space="preserve"> Carla Antunes, dpo@northwind.example</w:t>
      </w:r>
      <w:r>
        <w:t xml:space="preserve"> </w:t>
      </w:r>
      <w:r>
        <w:rPr>
          <w:b w:val="0"/>
          <w:i w:val="0"/>
        </w:rPr>
      </w:r>
      <w:r>
        <w:rPr>
          <w:b/>
          <w:i w:val="0"/>
        </w:rPr>
        <w:t>Effective date:</w:t>
      </w:r>
      <w:r>
        <w:rPr>
          <w:b w:val="0"/>
          <w:i w:val="0"/>
        </w:rPr>
        <w:t xml:space="preserve"> 1 January 2026</w:t>
      </w:r>
    </w:p>
    <w:p>
      <w:pPr>
        <w:pStyle w:val="Heading2"/>
      </w:pPr>
      <w:r>
        <w:t>1. Purpose</w:t>
      </w:r>
    </w:p>
    <w:p>
      <w:r>
        <w:rPr>
          <w:b w:val="0"/>
          <w:i w:val="0"/>
        </w:rPr>
        <w:t>Northwind Labs processes personal data about employees, candidates, customers' users and business contacts. This policy explains the principles every employee must follow when handling personal data, so that we comply with the EU General Data Protection Regulation (GDPR), the Polish and German national data protection laws, the Portuguese Law 58/2019 and US state privacy laws such as the CCPA.</w:t>
      </w:r>
    </w:p>
    <w:p>
      <w:pPr>
        <w:pStyle w:val="Heading2"/>
      </w:pPr>
      <w:r>
        <w:t>2. Our roles</w:t>
      </w:r>
    </w:p>
    <w:p>
      <w:pPr>
        <w:pStyle w:val="ListBullet"/>
      </w:pPr>
      <w:r>
        <w:rPr>
          <w:b w:val="0"/>
          <w:i w:val="0"/>
        </w:rPr>
        <w:t xml:space="preserve">For employee, candidate and business contact data, Northwind is the </w:t>
      </w:r>
      <w:r>
        <w:rPr>
          <w:b/>
          <w:i w:val="0"/>
        </w:rPr>
        <w:t>controller</w:t>
      </w:r>
      <w:r>
        <w:rPr>
          <w:b w:val="0"/>
          <w:i w:val="0"/>
        </w:rPr>
        <w:t>.</w:t>
      </w:r>
    </w:p>
    <w:p>
      <w:pPr>
        <w:pStyle w:val="ListBullet"/>
      </w:pPr>
      <w:r>
        <w:rPr>
          <w:b w:val="0"/>
          <w:i w:val="0"/>
        </w:rPr>
        <w:t xml:space="preserve">For data that customers send to Atlas and Beacon, Northwind is a </w:t>
      </w:r>
      <w:r>
        <w:rPr>
          <w:b/>
          <w:i w:val="0"/>
        </w:rPr>
        <w:t>processor</w:t>
      </w:r>
      <w:r>
        <w:rPr>
          <w:b w:val="0"/>
          <w:i w:val="0"/>
        </w:rPr>
        <w:t xml:space="preserve"> acting on the customer's instructions under the Data Processing Agreement (DPA) signed with each customer.</w:t>
      </w:r>
    </w:p>
    <w:p>
      <w:pPr>
        <w:pStyle w:val="Heading2"/>
      </w:pPr>
      <w:r>
        <w:t>3. Principles</w:t>
      </w:r>
    </w:p>
    <w:p>
      <w:pPr>
        <w:pStyle w:val="ListNumber"/>
      </w:pPr>
      <w:r>
        <w:rPr>
          <w:b w:val="0"/>
          <w:i w:val="0"/>
        </w:rPr>
      </w:r>
      <w:r>
        <w:rPr>
          <w:b/>
          <w:i w:val="0"/>
        </w:rPr>
        <w:t>Lawful and transparent:</w:t>
      </w:r>
      <w:r>
        <w:rPr>
          <w:b w:val="0"/>
          <w:i w:val="0"/>
        </w:rPr>
        <w:t xml:space="preserve"> only collect personal data when there is a legal basis and people have been told how it is used.</w:t>
      </w:r>
    </w:p>
    <w:p>
      <w:pPr>
        <w:pStyle w:val="ListNumber"/>
      </w:pPr>
      <w:r>
        <w:rPr>
          <w:b w:val="0"/>
          <w:i w:val="0"/>
        </w:rPr>
      </w:r>
      <w:r>
        <w:rPr>
          <w:b/>
          <w:i w:val="0"/>
        </w:rPr>
        <w:t>Purpose limitation:</w:t>
      </w:r>
      <w:r>
        <w:rPr>
          <w:b w:val="0"/>
          <w:i w:val="0"/>
        </w:rPr>
        <w:t xml:space="preserve"> use personal data only for the purpose it was collected for.</w:t>
      </w:r>
    </w:p>
    <w:p>
      <w:pPr>
        <w:pStyle w:val="ListNumber"/>
      </w:pPr>
      <w:r>
        <w:rPr>
          <w:b w:val="0"/>
          <w:i w:val="0"/>
        </w:rPr>
      </w:r>
      <w:r>
        <w:rPr>
          <w:b/>
          <w:i w:val="0"/>
        </w:rPr>
        <w:t>Data minimisation:</w:t>
      </w:r>
      <w:r>
        <w:rPr>
          <w:b w:val="0"/>
          <w:i w:val="0"/>
        </w:rPr>
        <w:t xml:space="preserve"> collect the least data needed. Do not copy customer data into spreadsheets, tickets or Slack.</w:t>
      </w:r>
    </w:p>
    <w:p>
      <w:pPr>
        <w:pStyle w:val="ListNumber"/>
      </w:pPr>
      <w:r>
        <w:rPr>
          <w:b w:val="0"/>
          <w:i w:val="0"/>
        </w:rPr>
      </w:r>
      <w:r>
        <w:rPr>
          <w:b/>
          <w:i w:val="0"/>
        </w:rPr>
        <w:t>Accuracy:</w:t>
      </w:r>
      <w:r>
        <w:rPr>
          <w:b w:val="0"/>
          <w:i w:val="0"/>
        </w:rPr>
        <w:t xml:space="preserve"> keep personal data up to date, for example your own profile in Workday.</w:t>
      </w:r>
    </w:p>
    <w:p>
      <w:pPr>
        <w:pStyle w:val="ListNumber"/>
      </w:pPr>
      <w:r>
        <w:rPr>
          <w:b w:val="0"/>
          <w:i w:val="0"/>
        </w:rPr>
      </w:r>
      <w:r>
        <w:rPr>
          <w:b/>
          <w:i w:val="0"/>
        </w:rPr>
        <w:t>Storage limitation:</w:t>
      </w:r>
      <w:r>
        <w:rPr>
          <w:b w:val="0"/>
          <w:i w:val="0"/>
        </w:rPr>
        <w:t xml:space="preserve"> delete personal data when it is no longer needed, following the retention schedule in Notion.</w:t>
      </w:r>
    </w:p>
    <w:p>
      <w:pPr>
        <w:pStyle w:val="ListNumber"/>
      </w:pPr>
      <w:r>
        <w:rPr>
          <w:b w:val="0"/>
          <w:i w:val="0"/>
        </w:rPr>
      </w:r>
      <w:r>
        <w:rPr>
          <w:b/>
          <w:i w:val="0"/>
        </w:rPr>
        <w:t>Security:</w:t>
      </w:r>
      <w:r>
        <w:rPr>
          <w:b w:val="0"/>
          <w:i w:val="0"/>
        </w:rPr>
        <w:t xml:space="preserve"> protect personal data using the controls in the Information Security Policy (Restricted data under POL-SEC-009).</w:t>
      </w:r>
    </w:p>
    <w:p>
      <w:pPr>
        <w:pStyle w:val="Heading2"/>
      </w:pPr>
      <w:r>
        <w:t>4. Records of processing</w:t>
      </w:r>
    </w:p>
    <w:p>
      <w:r>
        <w:rPr>
          <w:b w:val="0"/>
          <w:i w:val="0"/>
        </w:rPr>
        <w:t>Every team that starts a new activity involving personal data (for example a new HR tool or a marketing campaign) must register it in the Records of Processing Activities (RoPA) in OneTrust before going live. New high-risk processing needs a Data Protection Impact Assessment (DPIA) approved by the DPO.</w:t>
      </w:r>
    </w:p>
    <w:p>
      <w:pPr>
        <w:pStyle w:val="Heading2"/>
      </w:pPr>
      <w:r>
        <w:t>5. Data subject requests</w:t>
      </w:r>
    </w:p>
    <w:p>
      <w:r>
        <w:rPr>
          <w:b w:val="0"/>
          <w:i w:val="0"/>
        </w:rPr>
        <w:t>People can ask to access, correct, delete or export their personal data. These are called data subject requests (DSARs).</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Who</w:t>
            </w:r>
          </w:p>
        </w:tc>
        <w:tc>
          <w:tcPr>
            <w:tcW w:type="dxa" w:w="2880"/>
          </w:tcPr>
          <w:p>
            <w:r>
              <w:t>Deadline</w:t>
            </w:r>
          </w:p>
        </w:tc>
      </w:tr>
      <w:tr>
        <w:tc>
          <w:tcPr>
            <w:tcW w:type="dxa" w:w="2880"/>
          </w:tcPr>
          <w:p>
            <w:r>
              <w:t>Forward any request you receive to privacy@northwind.example</w:t>
            </w:r>
          </w:p>
        </w:tc>
        <w:tc>
          <w:tcPr>
            <w:tcW w:type="dxa" w:w="2880"/>
          </w:tcPr>
          <w:p>
            <w:r>
              <w:t>Any employee</w:t>
            </w:r>
          </w:p>
        </w:tc>
        <w:tc>
          <w:tcPr>
            <w:tcW w:type="dxa" w:w="2880"/>
          </w:tcPr>
          <w:p>
            <w:r>
              <w:t>Within 1 working day</w:t>
            </w:r>
          </w:p>
        </w:tc>
      </w:tr>
      <w:tr>
        <w:tc>
          <w:tcPr>
            <w:tcW w:type="dxa" w:w="2880"/>
          </w:tcPr>
          <w:p>
            <w:r>
              <w:t>Verify the identity of the requester</w:t>
            </w:r>
          </w:p>
        </w:tc>
        <w:tc>
          <w:tcPr>
            <w:tcW w:type="dxa" w:w="2880"/>
          </w:tcPr>
          <w:p>
            <w:r>
              <w:t>Privacy team</w:t>
            </w:r>
          </w:p>
        </w:tc>
        <w:tc>
          <w:tcPr>
            <w:tcW w:type="dxa" w:w="2880"/>
          </w:tcPr>
          <w:p>
            <w:r>
              <w:t>Within 5 working days</w:t>
            </w:r>
          </w:p>
        </w:tc>
      </w:tr>
      <w:tr>
        <w:tc>
          <w:tcPr>
            <w:tcW w:type="dxa" w:w="2880"/>
          </w:tcPr>
          <w:p>
            <w:r>
              <w:t>Respond to the requester</w:t>
            </w:r>
          </w:p>
        </w:tc>
        <w:tc>
          <w:tcPr>
            <w:tcW w:type="dxa" w:w="2880"/>
          </w:tcPr>
          <w:p>
            <w:r>
              <w:t>Privacy team with the DPO</w:t>
            </w:r>
          </w:p>
        </w:tc>
        <w:tc>
          <w:tcPr>
            <w:tcW w:type="dxa" w:w="2880"/>
          </w:tcPr>
          <w:p>
            <w:r>
              <w:t>Within 30 calendar days of receipt</w:t>
            </w:r>
          </w:p>
        </w:tc>
      </w:tr>
    </w:tbl>
    <w:p>
      <w:r>
        <w:rPr>
          <w:b w:val="0"/>
          <w:i w:val="0"/>
        </w:rPr>
        <w:t>Requests from users of a customer's Atlas workspace are forwarded to that customer, because the customer is the controller.</w:t>
      </w:r>
    </w:p>
    <w:p>
      <w:pPr>
        <w:pStyle w:val="Heading2"/>
      </w:pPr>
      <w:r>
        <w:t>6. Personal data breaches</w:t>
      </w:r>
    </w:p>
    <w:p>
      <w:r>
        <w:rPr>
          <w:b w:val="0"/>
          <w:i w:val="0"/>
        </w:rPr>
        <w:t xml:space="preserve">A personal data breach is any accidental or unlawful loss, disclosure or alteration of personal data, for example an email with employee data sent to the wrong person. Report it immediately as a security incident under POL-SEC-030. The DPO decides whether the breach must be notified to a supervisory authority, which must happen </w:t>
      </w:r>
      <w:r>
        <w:rPr>
          <w:b/>
          <w:i w:val="0"/>
        </w:rPr>
        <w:t>within 72 hours</w:t>
      </w:r>
      <w:r>
        <w:rPr>
          <w:b w:val="0"/>
          <w:i w:val="0"/>
        </w:rPr>
        <w:t xml:space="preserve"> of Northwind becoming aware of it. Customers are notified without undue delay according to their DPA.</w:t>
      </w:r>
    </w:p>
    <w:p>
      <w:pPr>
        <w:pStyle w:val="Heading2"/>
      </w:pPr>
      <w:r>
        <w:t>7. International transfers</w:t>
      </w:r>
    </w:p>
    <w:p>
      <w:r>
        <w:rPr>
          <w:b w:val="0"/>
          <w:i w:val="0"/>
        </w:rPr>
        <w:t>Personal data may be transferred outside the European Economic Area only to vendors covered by the EU Standard Contractual Clauses or the EU-US Data Privacy Framework. The Security and Legal teams check this during the vendor risk assessment (POL-SEC-037).</w:t>
      </w:r>
    </w:p>
    <w:p>
      <w:pPr>
        <w:pStyle w:val="Heading2"/>
      </w:pPr>
      <w:r>
        <w:t>8. Employee monitoring and privacy</w:t>
      </w:r>
    </w:p>
    <w:p>
      <w:r>
        <w:rPr>
          <w:b w:val="0"/>
          <w:i w:val="0"/>
        </w:rPr>
        <w:t>Northwind does not use keystroke logging, screen recording or webcam monitoring. Security logs are kept as described in the Acceptable Use Policy. In Germany, any new tool that could be used to monitor performance or behaviour is agreed with the works council before introduction.</w:t>
      </w:r>
    </w:p>
    <w:p>
      <w:pPr>
        <w:pStyle w:val="Heading2"/>
      </w:pPr>
      <w:r>
        <w:t>9. Training</w:t>
      </w:r>
    </w:p>
    <w:p>
      <w:r>
        <w:rPr>
          <w:b w:val="0"/>
          <w:i w:val="0"/>
        </w:rPr>
        <w:t>All employees complete the data protection e-learning module during onboarding and every two years afterwards. Employees in Support, People and Marketing complete it every year.</w:t>
      </w:r>
    </w:p>
    <w:p>
      <w:pPr>
        <w:pStyle w:val="Heading2"/>
      </w:pPr>
      <w:r>
        <w:t>10. Questions</w:t>
      </w:r>
    </w:p>
    <w:p>
      <w:r>
        <w:rPr>
          <w:b w:val="0"/>
          <w:i w:val="0"/>
        </w:rPr>
        <w:t>Contact the DPO, Carla Antunes, at dpo@northwind.example, or ask in #security-help.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Protection and Privacy Policy</dc:title>
  <dc:subject/>
  <dc:creator>Jonas Weber</dc:creator>
  <cp:keywords/>
  <dc:description>generated by python-docx</dc:description>
  <cp:lastModifiedBy/>
  <cp:revision>1</cp:revision>
  <dcterms:created xsi:type="dcterms:W3CDTF">2013-12-23T23:15:00Z</dcterms:created>
  <dcterms:modified xsi:type="dcterms:W3CDTF">2013-12-23T23:15:00Z</dcterms:modified>
  <cp:category/>
</cp:coreProperties>
</file>