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5BAE" w14:textId="6D4C7048" w:rsidR="00E408A8" w:rsidRPr="0008687C" w:rsidRDefault="00381567" w:rsidP="00BD11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6D2">
        <w:rPr>
          <w:rFonts w:ascii="Times New Roman" w:hAnsi="Times New Roman" w:cs="Times New Roman"/>
          <w:b/>
          <w:sz w:val="24"/>
          <w:szCs w:val="24"/>
        </w:rPr>
        <w:t>A pesti forradalom és az áprilisi törvények</w:t>
      </w:r>
      <w:r w:rsidRPr="001926D2">
        <w:rPr>
          <w:rFonts w:ascii="Times New Roman" w:hAnsi="Times New Roman" w:cs="Times New Roman"/>
          <w:sz w:val="24"/>
          <w:szCs w:val="24"/>
        </w:rPr>
        <w:t xml:space="preserve"> - Politikai berendezkedések a modern korban</w:t>
      </w:r>
    </w:p>
    <w:p w14:paraId="35778ED4" w14:textId="794BF7EB" w:rsidR="005E29FE" w:rsidRDefault="00381567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Nem volt külön címekre/pontokra szedve szóval bebasztam őket alpontokba - Andris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5D5C677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t>Az 1848. január 12-i palermói megmozdulás Európában alapvető változásokat indított, majd a február 22-én kirobbant párizsi forradalom elindította a „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népek tavasza</w:t>
      </w:r>
      <w:r w:rsidRPr="00381567">
        <w:rPr>
          <w:rFonts w:ascii="Times New Roman" w:hAnsi="Times New Roman" w:cs="Times New Roman"/>
          <w:sz w:val="24"/>
          <w:szCs w:val="24"/>
        </w:rPr>
        <w:t>”-ként ismert forradalmi hullámot.</w:t>
      </w:r>
    </w:p>
    <w:p w14:paraId="652B9473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t>Az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utolsó rendi országgyűlést 1847. november</w:t>
      </w:r>
      <w:r w:rsidRPr="00381567">
        <w:rPr>
          <w:rFonts w:ascii="Times New Roman" w:hAnsi="Times New Roman" w:cs="Times New Roman"/>
          <w:sz w:val="24"/>
          <w:szCs w:val="24"/>
        </w:rPr>
        <w:t>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381567">
        <w:rPr>
          <w:rFonts w:ascii="Times New Roman" w:hAnsi="Times New Roman" w:cs="Times New Roman"/>
          <w:sz w:val="24"/>
          <w:szCs w:val="24"/>
        </w:rPr>
        <w:t>-én nyitotta meg a király. A politikai erőviszonyoknak megfelelően csupán részeredményeket ért el az ellenzék: reformjavaslatai közül elfogadták az ősiség eltörlését, a háziadó bevezetését, de nem sikerült keresztül vinni a közteherviselés és az örökváltság ügyét. A liberális nemesség egymaga nem tudta megoldani a válságot.</w:t>
      </w:r>
    </w:p>
    <w:p w14:paraId="53EAFC15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b/>
          <w:bCs/>
          <w:sz w:val="24"/>
          <w:szCs w:val="24"/>
        </w:rPr>
        <w:t>1848. március 1</w:t>
      </w:r>
      <w:r w:rsidRPr="00381567">
        <w:rPr>
          <w:rFonts w:ascii="Times New Roman" w:hAnsi="Times New Roman" w:cs="Times New Roman"/>
          <w:sz w:val="24"/>
          <w:szCs w:val="24"/>
        </w:rPr>
        <w:t>-én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Pozsonyba</w:t>
      </w:r>
      <w:r w:rsidRPr="00381567">
        <w:rPr>
          <w:rFonts w:ascii="Times New Roman" w:hAnsi="Times New Roman" w:cs="Times New Roman"/>
          <w:sz w:val="24"/>
          <w:szCs w:val="24"/>
        </w:rPr>
        <w:t> ért a hír a párizsi eseményekről, melynek hatására a liberális Kossuth Lajos újabb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támadást indított</w:t>
      </w:r>
      <w:r w:rsidRPr="00381567">
        <w:rPr>
          <w:rFonts w:ascii="Times New Roman" w:hAnsi="Times New Roman" w:cs="Times New Roman"/>
          <w:sz w:val="24"/>
          <w:szCs w:val="24"/>
        </w:rPr>
        <w:t> az abszolutizmus ellen.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Március harmadikán</w:t>
      </w:r>
      <w:r w:rsidRPr="00381567">
        <w:rPr>
          <w:rFonts w:ascii="Times New Roman" w:hAnsi="Times New Roman" w:cs="Times New Roman"/>
          <w:sz w:val="24"/>
          <w:szCs w:val="24"/>
        </w:rPr>
        <w:t> újabb felirati javaslattal állt elő az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alsótábla</w:t>
      </w:r>
      <w:r w:rsidRPr="00381567">
        <w:rPr>
          <w:rFonts w:ascii="Times New Roman" w:hAnsi="Times New Roman" w:cs="Times New Roman"/>
          <w:sz w:val="24"/>
          <w:szCs w:val="24"/>
        </w:rPr>
        <w:t> ülésén: javasolta például a közteherviselést, jobbágyfelszabadítást, népképviseleti parlamentet, felelős kormányzati rendszert. Az udvar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időhúzás</w:t>
      </w:r>
      <w:r w:rsidRPr="00381567">
        <w:rPr>
          <w:rFonts w:ascii="Times New Roman" w:hAnsi="Times New Roman" w:cs="Times New Roman"/>
          <w:sz w:val="24"/>
          <w:szCs w:val="24"/>
        </w:rPr>
        <w:t> taktikáját választotta, a nádort és a helytartót Bécsbe rendelték, így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nem volt</w:t>
      </w:r>
      <w:r w:rsidRPr="00381567">
        <w:rPr>
          <w:rFonts w:ascii="Times New Roman" w:hAnsi="Times New Roman" w:cs="Times New Roman"/>
          <w:sz w:val="24"/>
          <w:szCs w:val="24"/>
        </w:rPr>
        <w:t>, aki a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felsőház</w:t>
      </w:r>
      <w:r w:rsidRPr="00381567">
        <w:rPr>
          <w:rFonts w:ascii="Times New Roman" w:hAnsi="Times New Roman" w:cs="Times New Roman"/>
          <w:sz w:val="24"/>
          <w:szCs w:val="24"/>
        </w:rPr>
        <w:t> ülését összehívja.</w:t>
      </w:r>
    </w:p>
    <w:p w14:paraId="78D59894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t>A patthelyzetet a pesti Ellenzéki Kör föllépése hárította el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támogatva Kossuth felirati javaslatát</w:t>
      </w:r>
      <w:r w:rsidRPr="00381567">
        <w:rPr>
          <w:rFonts w:ascii="Times New Roman" w:hAnsi="Times New Roman" w:cs="Times New Roman"/>
          <w:sz w:val="24"/>
          <w:szCs w:val="24"/>
        </w:rPr>
        <w:t>. Megszületett a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12 pont</w:t>
      </w:r>
      <w:r w:rsidRPr="00381567">
        <w:rPr>
          <w:rFonts w:ascii="Times New Roman" w:hAnsi="Times New Roman" w:cs="Times New Roman"/>
          <w:sz w:val="24"/>
          <w:szCs w:val="24"/>
        </w:rPr>
        <w:t> (Irinyi József), amely már meghaladta felirati javaslat követeléseit (követelte többek között a cenzúra eltörlését, az évenkénti országgyűlést, a felelős kormányt Pest-Budán, törvény előtti egyenlőséget, közteherviselést, jobbágyfelszabadítást) és a Nemzeti dal (Petőfi Sándor).</w:t>
      </w:r>
    </w:p>
    <w:p w14:paraId="354B55A2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b/>
          <w:bCs/>
          <w:sz w:val="24"/>
          <w:szCs w:val="24"/>
        </w:rPr>
        <w:t>Március 13</w:t>
      </w:r>
      <w:r w:rsidRPr="00381567">
        <w:rPr>
          <w:rFonts w:ascii="Times New Roman" w:hAnsi="Times New Roman" w:cs="Times New Roman"/>
          <w:sz w:val="24"/>
          <w:szCs w:val="24"/>
        </w:rPr>
        <w:t>-án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Bécsben forradalom tört ki</w:t>
      </w:r>
      <w:r w:rsidRPr="00381567">
        <w:rPr>
          <w:rFonts w:ascii="Times New Roman" w:hAnsi="Times New Roman" w:cs="Times New Roman"/>
          <w:sz w:val="24"/>
          <w:szCs w:val="24"/>
        </w:rPr>
        <w:t>, ami megváltoztatta a magyarországi eseményeket is. Az udvar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István nádort</w:t>
      </w:r>
      <w:r w:rsidRPr="00381567">
        <w:rPr>
          <w:rFonts w:ascii="Times New Roman" w:hAnsi="Times New Roman" w:cs="Times New Roman"/>
          <w:sz w:val="24"/>
          <w:szCs w:val="24"/>
        </w:rPr>
        <w:t> azonnal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Pozsonyba küldte</w:t>
      </w:r>
      <w:r w:rsidRPr="00381567">
        <w:rPr>
          <w:rFonts w:ascii="Times New Roman" w:hAnsi="Times New Roman" w:cs="Times New Roman"/>
          <w:sz w:val="24"/>
          <w:szCs w:val="24"/>
        </w:rPr>
        <w:t> azzal az utasítással, hogy fogadtassa el főrendekkel is Kossuth javaslatát. Másnap Kossuth a küldöttség élén hajóval vitte Bécsbe az elfogadott feliratot.</w:t>
      </w:r>
    </w:p>
    <w:p w14:paraId="26210909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t>Ezzel egy időben Pesten is fölgyorsultak az események. A „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márciusi ifjak</w:t>
      </w:r>
      <w:r w:rsidRPr="00381567">
        <w:rPr>
          <w:rFonts w:ascii="Times New Roman" w:hAnsi="Times New Roman" w:cs="Times New Roman"/>
          <w:sz w:val="24"/>
          <w:szCs w:val="24"/>
        </w:rPr>
        <w:t>” (Petőfi Sándor, Irinyi József, Vasvári Pál, Jókai Mór, Degré Alajos) mozgósítva az egyetemistákat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15-én</w:t>
      </w:r>
      <w:r w:rsidRPr="00381567">
        <w:rPr>
          <w:rFonts w:ascii="Times New Roman" w:hAnsi="Times New Roman" w:cs="Times New Roman"/>
          <w:sz w:val="24"/>
          <w:szCs w:val="24"/>
        </w:rPr>
        <w:t> a Landerer és Heckenast nyomdában a cenzúra engedélye nélkül kiadták a 12 pontot és a Nemzet dalt. A tömeg hatására Pest és Buda vezetése csatlakozott a megmozduláshoz, a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Helytartótanács elfogadta és életbe léptette a követeléseket</w:t>
      </w:r>
      <w:r w:rsidRPr="00381567">
        <w:rPr>
          <w:rFonts w:ascii="Times New Roman" w:hAnsi="Times New Roman" w:cs="Times New Roman"/>
          <w:sz w:val="24"/>
          <w:szCs w:val="24"/>
        </w:rPr>
        <w:t>, valamint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szabadlábra helyezte Táncsics Mihályt</w:t>
      </w:r>
      <w:r w:rsidRPr="00381567">
        <w:rPr>
          <w:rFonts w:ascii="Times New Roman" w:hAnsi="Times New Roman" w:cs="Times New Roman"/>
          <w:sz w:val="24"/>
          <w:szCs w:val="24"/>
        </w:rPr>
        <w:t>. Este a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Nemzeti Színház a tiltott Bánk bán előadásával ünnepelte a forradalom győzelmét.</w:t>
      </w:r>
      <w:r w:rsidRPr="00381567">
        <w:rPr>
          <w:rFonts w:ascii="Times New Roman" w:hAnsi="Times New Roman" w:cs="Times New Roman"/>
          <w:sz w:val="24"/>
          <w:szCs w:val="24"/>
        </w:rPr>
        <w:t> A pesti események hatására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17-én Batthyány Lajos grófot István nádor V. Ferdinánd nevében miniszterelnökké nevezte</w:t>
      </w:r>
      <w:r w:rsidRPr="00381567">
        <w:rPr>
          <w:rFonts w:ascii="Times New Roman" w:hAnsi="Times New Roman" w:cs="Times New Roman"/>
          <w:sz w:val="24"/>
          <w:szCs w:val="24"/>
        </w:rPr>
        <w:t> ki. Az első független magyar kormány tagja volt: gr. Széchenyi István (közmunka és közlekedésügy), Kossuth Lajos (pénzügy), Deák Ferenc (igazságügy), Mészáros Lázár (hadügy), Szemere Bertalan (belügy), herceg Esterházy Pál (király személye körüli miniszter), Klauzál Gábor földművelés- és iparügy), Eötvös József (vallás és oktatásügy).</w:t>
      </w:r>
    </w:p>
    <w:p w14:paraId="5C64684C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t>A vívmányokat rögzítő törvényeket alig három hét alatt készítette el az utolsó rendi országgyűlés.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A király 1848. április 11-én Pozsonyban</w:t>
      </w:r>
      <w:r w:rsidRPr="00381567">
        <w:rPr>
          <w:rFonts w:ascii="Times New Roman" w:hAnsi="Times New Roman" w:cs="Times New Roman"/>
          <w:sz w:val="24"/>
          <w:szCs w:val="24"/>
        </w:rPr>
        <w:t>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szentesítette a törvényeket, ezért nevezzük áprilisi törvényeknek.</w:t>
      </w:r>
      <w:r w:rsidRPr="00381567">
        <w:rPr>
          <w:rFonts w:ascii="Times New Roman" w:hAnsi="Times New Roman" w:cs="Times New Roman"/>
          <w:sz w:val="24"/>
          <w:szCs w:val="24"/>
        </w:rPr>
        <w:t xml:space="preserve"> A társadalom átalakulását eredményező legfontosabb törvénye az azonnali kötelező örökváltság volt. A törvény úgy rendelkezett, hogy a földbirtokosokat állami kármentesítés illeti meg, amit a volt kincstári birtokok eladásából fedeztek volna. Megszűntek az úrbéri </w:t>
      </w:r>
      <w:proofErr w:type="spellStart"/>
      <w:r w:rsidRPr="00381567">
        <w:rPr>
          <w:rFonts w:ascii="Times New Roman" w:hAnsi="Times New Roman" w:cs="Times New Roman"/>
          <w:sz w:val="24"/>
          <w:szCs w:val="24"/>
        </w:rPr>
        <w:t>terhek</w:t>
      </w:r>
      <w:proofErr w:type="spellEnd"/>
      <w:r w:rsidRPr="00381567">
        <w:rPr>
          <w:rFonts w:ascii="Times New Roman" w:hAnsi="Times New Roman" w:cs="Times New Roman"/>
          <w:sz w:val="24"/>
          <w:szCs w:val="24"/>
        </w:rPr>
        <w:t xml:space="preserve"> (például a robot), és az egyházi tizedet is eltörölték, a parasztság az úrbéres föld szabad tulajdonosa lett. Az úrbéres telek nélküli zsellérek megkapták a házukat és a körülötte levő telket, valamint megszüntették az úriszék intézményét. A sajtótörvény kaució fejében lehetővé tette a lapalapítást, eltörölte a cenzúrát. A katolikus vallás </w:t>
      </w:r>
      <w:proofErr w:type="spellStart"/>
      <w:r w:rsidRPr="00381567">
        <w:rPr>
          <w:rFonts w:ascii="Times New Roman" w:hAnsi="Times New Roman" w:cs="Times New Roman"/>
          <w:sz w:val="24"/>
          <w:szCs w:val="24"/>
        </w:rPr>
        <w:t>elveszette</w:t>
      </w:r>
      <w:proofErr w:type="spellEnd"/>
      <w:r w:rsidRPr="00381567">
        <w:rPr>
          <w:rFonts w:ascii="Times New Roman" w:hAnsi="Times New Roman" w:cs="Times New Roman"/>
          <w:sz w:val="24"/>
          <w:szCs w:val="24"/>
        </w:rPr>
        <w:t xml:space="preserve"> az államvallásjellegét a többi felekezettel szemben.</w:t>
      </w:r>
    </w:p>
    <w:p w14:paraId="13021722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lastRenderedPageBreak/>
        <w:t>Törvénybe iktatták a népképviseletet, kiterjesztve a politikai jogokat a cenzusos (vagyoni és értelmi feltételekhez kötött) választójog megalkotásával. Az országgyűlés továbbra is két kamarás maradt és évenként ülésezett Pesten, a végrehajtó hatalmat gyakorló kormány pedig neki tartozott felelősséggel. A kormány tagjai ellenjegyzési jogkörrel bírtak, vagyis az uralkodó bármely rendelete csak akkor vált érvényessé, ha azt a kormány valamelyik tagja ellenjegyezte.</w:t>
      </w:r>
    </w:p>
    <w:p w14:paraId="523E3FED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t>Az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áprilisi törvényekben</w:t>
      </w:r>
      <w:r w:rsidRPr="00381567">
        <w:rPr>
          <w:rFonts w:ascii="Times New Roman" w:hAnsi="Times New Roman" w:cs="Times New Roman"/>
          <w:sz w:val="24"/>
          <w:szCs w:val="24"/>
        </w:rPr>
        <w:t> az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1791</w:t>
      </w:r>
      <w:r w:rsidRPr="00381567">
        <w:rPr>
          <w:rFonts w:ascii="Times New Roman" w:hAnsi="Times New Roman" w:cs="Times New Roman"/>
          <w:sz w:val="24"/>
          <w:szCs w:val="24"/>
        </w:rPr>
        <w:t xml:space="preserve">–es alkotmány szerint független Magyarország rendi, feudális viszonyait fölváltotta egy polgári parlamentáris berendezkedés, de az Ausztriával kapcsolatos közjogi viszonya alapvetően nem változott meg. Magyarország a birodalmon belül helyezkedett el és a Pragmatica </w:t>
      </w:r>
      <w:proofErr w:type="spellStart"/>
      <w:r w:rsidRPr="00381567">
        <w:rPr>
          <w:rFonts w:ascii="Times New Roman" w:hAnsi="Times New Roman" w:cs="Times New Roman"/>
          <w:sz w:val="24"/>
          <w:szCs w:val="24"/>
        </w:rPr>
        <w:t>Sanctio</w:t>
      </w:r>
      <w:proofErr w:type="spellEnd"/>
      <w:r w:rsidRPr="00381567">
        <w:rPr>
          <w:rFonts w:ascii="Times New Roman" w:hAnsi="Times New Roman" w:cs="Times New Roman"/>
          <w:sz w:val="24"/>
          <w:szCs w:val="24"/>
        </w:rPr>
        <w:t xml:space="preserve"> kölcsönös védelmet írt elő, de a törvények miatt vita bontakozott ki közjogi kérdésben: egy feudális államban a had-, pénz- és külügy uralkodói jogkörhöz tartozott, parlamentáris államban a felelős kormány jogköre lett. Az udvar továbbra is igényt formált ezekre a tárcákra, áprilisban csak a helyzet adta kényszer miatt fogadta el az irányítás elvesztését, ezért később megkísérelte visszaszerezni ezeket.</w:t>
      </w:r>
    </w:p>
    <w:p w14:paraId="3927595D" w14:textId="77777777" w:rsidR="00381567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t>Az </w:t>
      </w:r>
      <w:r w:rsidRPr="00381567">
        <w:rPr>
          <w:rFonts w:ascii="Times New Roman" w:hAnsi="Times New Roman" w:cs="Times New Roman"/>
          <w:b/>
          <w:bCs/>
          <w:sz w:val="24"/>
          <w:szCs w:val="24"/>
        </w:rPr>
        <w:t>áprilisi törvények</w:t>
      </w:r>
      <w:r w:rsidRPr="00381567">
        <w:rPr>
          <w:rFonts w:ascii="Times New Roman" w:hAnsi="Times New Roman" w:cs="Times New Roman"/>
          <w:sz w:val="24"/>
          <w:szCs w:val="24"/>
        </w:rPr>
        <w:t xml:space="preserve"> legnagyobb hiányossága a nemzetiségi kérdés rendezetlensége volt. A Batthyány-kormány csak egy politikai nemzetet ismert el, a magyart. A nemzetiségek csak mint egyén és nem mint közösség gyakorolhatják a politikai jogokat. Nem kapták meg a nemzeti egyenjogúságot, amiért azok egyre hangosabban követelték az autonómiát, területi különállást. A kérdés rendezetlensége miatt a nemzetiségi vezetők inkább Bécs felé </w:t>
      </w:r>
      <w:proofErr w:type="spellStart"/>
      <w:r w:rsidRPr="00381567">
        <w:rPr>
          <w:rFonts w:ascii="Times New Roman" w:hAnsi="Times New Roman" w:cs="Times New Roman"/>
          <w:sz w:val="24"/>
          <w:szCs w:val="24"/>
        </w:rPr>
        <w:t>kacsintgattak</w:t>
      </w:r>
      <w:proofErr w:type="spellEnd"/>
      <w:r w:rsidRPr="00381567">
        <w:rPr>
          <w:rFonts w:ascii="Times New Roman" w:hAnsi="Times New Roman" w:cs="Times New Roman"/>
          <w:sz w:val="24"/>
          <w:szCs w:val="24"/>
        </w:rPr>
        <w:t>.</w:t>
      </w:r>
    </w:p>
    <w:p w14:paraId="0B349854" w14:textId="001448E2" w:rsidR="00B56A46" w:rsidRPr="00381567" w:rsidRDefault="00381567" w:rsidP="00381567">
      <w:pPr>
        <w:pStyle w:val="Listaszerbekezds"/>
        <w:numPr>
          <w:ilvl w:val="0"/>
          <w:numId w:val="6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81567">
        <w:rPr>
          <w:rFonts w:ascii="Times New Roman" w:hAnsi="Times New Roman" w:cs="Times New Roman"/>
          <w:sz w:val="24"/>
          <w:szCs w:val="24"/>
        </w:rPr>
        <w:t>Szintén rendezetlen problémaként jelentkezett az úrbéri viszonyok felszámolása során az irtvány és maradványföldek ügye is. A törvény szerint a paraszt a korábban kezén lévő földdel rendelkezhet. A földesúri visszaélések következtében a majorságokból törvénytelenül kialakított jobbágytelkek, mivel ilyen a törvény szerint nem létezhettek, nem kerülhettek az ott élő és dolgozó volt jobbágyok (zsellérek) kezére. Így ez a réteg nem jutott földhöz. Hasonló volt a helyzet az irtványokon kialakított jobbágytelkek esetében is.</w:t>
      </w:r>
    </w:p>
    <w:p w14:paraId="7D49EA18" w14:textId="54E2E589" w:rsidR="00CB38E1" w:rsidRPr="00BD118A" w:rsidRDefault="00381567" w:rsidP="00CB38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9791D" wp14:editId="7272FD23">
            <wp:extent cx="2520000" cy="3359167"/>
            <wp:effectExtent l="0" t="0" r="0" b="0"/>
            <wp:docPr id="903332944" name="Kép 1" descr="A Pesti Forradalom Eseményei, Az Áprilisi Törvények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sti Forradalom Eseményei, Az Áprilisi Törvények | 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35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0BA9" w14:textId="1128575C" w:rsidR="00E650E4" w:rsidRPr="0008687C" w:rsidRDefault="00E650E4" w:rsidP="00E650E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forrásai: </w:t>
      </w:r>
      <w:hyperlink r:id="rId9" w:history="1"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képek</w:t>
        </w:r>
      </w:hyperlink>
    </w:p>
    <w:sectPr w:rsidR="00E650E4" w:rsidRPr="000868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B6941" w14:textId="77777777" w:rsidR="00CC0968" w:rsidRDefault="00CC0968" w:rsidP="0020096A">
      <w:pPr>
        <w:spacing w:after="0" w:line="240" w:lineRule="auto"/>
      </w:pPr>
      <w:r>
        <w:separator/>
      </w:r>
    </w:p>
  </w:endnote>
  <w:endnote w:type="continuationSeparator" w:id="0">
    <w:p w14:paraId="0DC27444" w14:textId="77777777" w:rsidR="00CC0968" w:rsidRDefault="00CC0968" w:rsidP="002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11F4" w14:textId="059B517E" w:rsidR="0020096A" w:rsidRPr="0020096A" w:rsidRDefault="0020096A" w:rsidP="0020096A">
    <w:pPr>
      <w:pStyle w:val="llb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ab/>
      <w:t>forrás:</w:t>
    </w:r>
    <w:r w:rsidRPr="0020096A">
      <w:rPr>
        <w:rFonts w:ascii="Baskerville Old Face" w:hAnsi="Baskerville Old Face"/>
        <w:color w:val="0070C0"/>
        <w:sz w:val="20"/>
        <w:szCs w:val="20"/>
      </w:rPr>
      <w:t xml:space="preserve"> </w:t>
    </w:r>
    <w:hyperlink r:id="rId1" w:history="1">
      <w:r w:rsidR="00BF31E1">
        <w:rPr>
          <w:rStyle w:val="Hiperhivatkozs"/>
          <w:rFonts w:ascii="Baskerville Old Face" w:hAnsi="Baskerville Old Face"/>
          <w:color w:val="0070C0"/>
          <w:sz w:val="20"/>
          <w:szCs w:val="20"/>
        </w:rPr>
        <w:t>tétel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FFAF8" w14:textId="77777777" w:rsidR="00CC0968" w:rsidRDefault="00CC0968" w:rsidP="0020096A">
      <w:pPr>
        <w:spacing w:after="0" w:line="240" w:lineRule="auto"/>
      </w:pPr>
      <w:r>
        <w:separator/>
      </w:r>
    </w:p>
  </w:footnote>
  <w:footnote w:type="continuationSeparator" w:id="0">
    <w:p w14:paraId="742865D6" w14:textId="77777777" w:rsidR="00CC0968" w:rsidRDefault="00CC0968" w:rsidP="002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7CDD" w14:textId="34EA633A" w:rsidR="0020096A" w:rsidRPr="007F2B48" w:rsidRDefault="0020096A" w:rsidP="0020096A">
    <w:pPr>
      <w:pStyle w:val="lfej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>Történelem kisérettségi tételek</w:t>
    </w:r>
    <w:r>
      <w:rPr>
        <w:rFonts w:ascii="Baskerville Old Face" w:hAnsi="Baskerville Old Face"/>
        <w:sz w:val="20"/>
        <w:szCs w:val="20"/>
      </w:rPr>
      <w:t xml:space="preserve"> –</w:t>
    </w:r>
    <w:r w:rsidRPr="0020096A">
      <w:rPr>
        <w:rFonts w:ascii="Baskerville Old Face" w:hAnsi="Baskerville Old Face"/>
        <w:sz w:val="20"/>
        <w:szCs w:val="20"/>
      </w:rPr>
      <w:t xml:space="preserve"> </w:t>
    </w:r>
    <w:r w:rsidR="00381567">
      <w:rPr>
        <w:rFonts w:ascii="Baskerville Old Face" w:hAnsi="Baskerville Old Face"/>
        <w:sz w:val="20"/>
        <w:szCs w:val="20"/>
      </w:rPr>
      <w:t>8</w:t>
    </w:r>
    <w:r>
      <w:rPr>
        <w:rFonts w:ascii="Baskerville Old Face" w:hAnsi="Baskerville Old Face"/>
        <w:sz w:val="20"/>
        <w:szCs w:val="20"/>
      </w:rPr>
      <w:tab/>
      <w:t>Laczkovics András Gerg</w:t>
    </w:r>
    <w:r>
      <w:rPr>
        <w:rFonts w:ascii="Calibri" w:hAnsi="Calibri" w:cs="Calibri"/>
        <w:sz w:val="20"/>
        <w:szCs w:val="20"/>
      </w:rPr>
      <w:t>ő 11/b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2B"/>
    <w:multiLevelType w:val="multilevel"/>
    <w:tmpl w:val="24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6219"/>
    <w:multiLevelType w:val="multilevel"/>
    <w:tmpl w:val="3B0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1ABF"/>
    <w:multiLevelType w:val="multilevel"/>
    <w:tmpl w:val="841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23403"/>
    <w:multiLevelType w:val="multilevel"/>
    <w:tmpl w:val="3B1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22B94"/>
    <w:multiLevelType w:val="multilevel"/>
    <w:tmpl w:val="0FE8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01000"/>
    <w:multiLevelType w:val="multilevel"/>
    <w:tmpl w:val="229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1632E"/>
    <w:multiLevelType w:val="multilevel"/>
    <w:tmpl w:val="69E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A3DF2"/>
    <w:multiLevelType w:val="multilevel"/>
    <w:tmpl w:val="3FB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B32D0"/>
    <w:multiLevelType w:val="multilevel"/>
    <w:tmpl w:val="48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5793"/>
    <w:multiLevelType w:val="multilevel"/>
    <w:tmpl w:val="E48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87CB6"/>
    <w:multiLevelType w:val="multilevel"/>
    <w:tmpl w:val="4A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B7CA0"/>
    <w:multiLevelType w:val="multilevel"/>
    <w:tmpl w:val="D14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B1CF5"/>
    <w:multiLevelType w:val="multilevel"/>
    <w:tmpl w:val="3A9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460BE"/>
    <w:multiLevelType w:val="multilevel"/>
    <w:tmpl w:val="321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B3B87"/>
    <w:multiLevelType w:val="multilevel"/>
    <w:tmpl w:val="D26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53F58"/>
    <w:multiLevelType w:val="multilevel"/>
    <w:tmpl w:val="B96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87667"/>
    <w:multiLevelType w:val="multilevel"/>
    <w:tmpl w:val="1D6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E6E34"/>
    <w:multiLevelType w:val="multilevel"/>
    <w:tmpl w:val="427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86ED6"/>
    <w:multiLevelType w:val="multilevel"/>
    <w:tmpl w:val="AA8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50B1D"/>
    <w:multiLevelType w:val="multilevel"/>
    <w:tmpl w:val="210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44C8F"/>
    <w:multiLevelType w:val="multilevel"/>
    <w:tmpl w:val="7E7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C3E29"/>
    <w:multiLevelType w:val="multilevel"/>
    <w:tmpl w:val="E27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B4183"/>
    <w:multiLevelType w:val="multilevel"/>
    <w:tmpl w:val="EF3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091F"/>
    <w:multiLevelType w:val="multilevel"/>
    <w:tmpl w:val="5B1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51093"/>
    <w:multiLevelType w:val="multilevel"/>
    <w:tmpl w:val="FF1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D95A3D"/>
    <w:multiLevelType w:val="multilevel"/>
    <w:tmpl w:val="40F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479BE"/>
    <w:multiLevelType w:val="multilevel"/>
    <w:tmpl w:val="80A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70798"/>
    <w:multiLevelType w:val="multilevel"/>
    <w:tmpl w:val="F1A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15913"/>
    <w:multiLevelType w:val="multilevel"/>
    <w:tmpl w:val="ED14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D05777"/>
    <w:multiLevelType w:val="multilevel"/>
    <w:tmpl w:val="565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651F25"/>
    <w:multiLevelType w:val="multilevel"/>
    <w:tmpl w:val="2D4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B86556"/>
    <w:multiLevelType w:val="multilevel"/>
    <w:tmpl w:val="E2D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0A72DA"/>
    <w:multiLevelType w:val="multilevel"/>
    <w:tmpl w:val="E77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330AFE"/>
    <w:multiLevelType w:val="multilevel"/>
    <w:tmpl w:val="B16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4D7224"/>
    <w:multiLevelType w:val="multilevel"/>
    <w:tmpl w:val="26C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546F0C"/>
    <w:multiLevelType w:val="multilevel"/>
    <w:tmpl w:val="CDE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832CB0"/>
    <w:multiLevelType w:val="multilevel"/>
    <w:tmpl w:val="0BA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D62D3"/>
    <w:multiLevelType w:val="multilevel"/>
    <w:tmpl w:val="E5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65897"/>
    <w:multiLevelType w:val="multilevel"/>
    <w:tmpl w:val="E10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18095F"/>
    <w:multiLevelType w:val="multilevel"/>
    <w:tmpl w:val="7A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FC73D5"/>
    <w:multiLevelType w:val="multilevel"/>
    <w:tmpl w:val="298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AD77BA"/>
    <w:multiLevelType w:val="multilevel"/>
    <w:tmpl w:val="B4D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E677B6"/>
    <w:multiLevelType w:val="multilevel"/>
    <w:tmpl w:val="84E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94654B"/>
    <w:multiLevelType w:val="multilevel"/>
    <w:tmpl w:val="653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4B7A10"/>
    <w:multiLevelType w:val="multilevel"/>
    <w:tmpl w:val="033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05D0C"/>
    <w:multiLevelType w:val="multilevel"/>
    <w:tmpl w:val="A83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0B7FDF"/>
    <w:multiLevelType w:val="multilevel"/>
    <w:tmpl w:val="AA3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FE4842"/>
    <w:multiLevelType w:val="multilevel"/>
    <w:tmpl w:val="A43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FD0829"/>
    <w:multiLevelType w:val="multilevel"/>
    <w:tmpl w:val="5E5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C418D"/>
    <w:multiLevelType w:val="multilevel"/>
    <w:tmpl w:val="F1B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4F7C83"/>
    <w:multiLevelType w:val="multilevel"/>
    <w:tmpl w:val="0EC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3E2B00"/>
    <w:multiLevelType w:val="hybridMultilevel"/>
    <w:tmpl w:val="CA92E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477803"/>
    <w:multiLevelType w:val="multilevel"/>
    <w:tmpl w:val="DED8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277445"/>
    <w:multiLevelType w:val="multilevel"/>
    <w:tmpl w:val="B82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373AE6"/>
    <w:multiLevelType w:val="multilevel"/>
    <w:tmpl w:val="A73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F00442"/>
    <w:multiLevelType w:val="multilevel"/>
    <w:tmpl w:val="20D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F03B27"/>
    <w:multiLevelType w:val="multilevel"/>
    <w:tmpl w:val="18F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0E0BA0"/>
    <w:multiLevelType w:val="multilevel"/>
    <w:tmpl w:val="70C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A944FA"/>
    <w:multiLevelType w:val="multilevel"/>
    <w:tmpl w:val="B64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4F7748"/>
    <w:multiLevelType w:val="multilevel"/>
    <w:tmpl w:val="8E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750AA1"/>
    <w:multiLevelType w:val="multilevel"/>
    <w:tmpl w:val="EEB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1597">
    <w:abstractNumId w:val="55"/>
  </w:num>
  <w:num w:numId="2" w16cid:durableId="2001812095">
    <w:abstractNumId w:val="19"/>
  </w:num>
  <w:num w:numId="3" w16cid:durableId="1096098684">
    <w:abstractNumId w:val="2"/>
  </w:num>
  <w:num w:numId="4" w16cid:durableId="1620331641">
    <w:abstractNumId w:val="59"/>
  </w:num>
  <w:num w:numId="5" w16cid:durableId="1069959209">
    <w:abstractNumId w:val="0"/>
  </w:num>
  <w:num w:numId="6" w16cid:durableId="918558896">
    <w:abstractNumId w:val="12"/>
  </w:num>
  <w:num w:numId="7" w16cid:durableId="448352962">
    <w:abstractNumId w:val="31"/>
  </w:num>
  <w:num w:numId="8" w16cid:durableId="271597106">
    <w:abstractNumId w:val="25"/>
  </w:num>
  <w:num w:numId="9" w16cid:durableId="828836611">
    <w:abstractNumId w:val="57"/>
  </w:num>
  <w:num w:numId="10" w16cid:durableId="1699114516">
    <w:abstractNumId w:val="15"/>
  </w:num>
  <w:num w:numId="11" w16cid:durableId="2106075909">
    <w:abstractNumId w:val="36"/>
  </w:num>
  <w:num w:numId="12" w16cid:durableId="569316681">
    <w:abstractNumId w:val="22"/>
  </w:num>
  <w:num w:numId="13" w16cid:durableId="125201536">
    <w:abstractNumId w:val="18"/>
  </w:num>
  <w:num w:numId="14" w16cid:durableId="908271779">
    <w:abstractNumId w:val="35"/>
  </w:num>
  <w:num w:numId="15" w16cid:durableId="1780177799">
    <w:abstractNumId w:val="32"/>
  </w:num>
  <w:num w:numId="16" w16cid:durableId="506091199">
    <w:abstractNumId w:val="6"/>
  </w:num>
  <w:num w:numId="17" w16cid:durableId="692534126">
    <w:abstractNumId w:val="45"/>
  </w:num>
  <w:num w:numId="18" w16cid:durableId="1163621924">
    <w:abstractNumId w:val="29"/>
  </w:num>
  <w:num w:numId="19" w16cid:durableId="804926420">
    <w:abstractNumId w:val="20"/>
  </w:num>
  <w:num w:numId="20" w16cid:durableId="862403471">
    <w:abstractNumId w:val="10"/>
  </w:num>
  <w:num w:numId="21" w16cid:durableId="1826580894">
    <w:abstractNumId w:val="13"/>
  </w:num>
  <w:num w:numId="22" w16cid:durableId="2134664504">
    <w:abstractNumId w:val="17"/>
  </w:num>
  <w:num w:numId="23" w16cid:durableId="1706755481">
    <w:abstractNumId w:val="48"/>
  </w:num>
  <w:num w:numId="24" w16cid:durableId="1427653092">
    <w:abstractNumId w:val="53"/>
  </w:num>
  <w:num w:numId="25" w16cid:durableId="458260039">
    <w:abstractNumId w:val="56"/>
  </w:num>
  <w:num w:numId="26" w16cid:durableId="1302613664">
    <w:abstractNumId w:val="33"/>
  </w:num>
  <w:num w:numId="27" w16cid:durableId="2100828687">
    <w:abstractNumId w:val="1"/>
  </w:num>
  <w:num w:numId="28" w16cid:durableId="1646859129">
    <w:abstractNumId w:val="30"/>
  </w:num>
  <w:num w:numId="29" w16cid:durableId="955677796">
    <w:abstractNumId w:val="7"/>
  </w:num>
  <w:num w:numId="30" w16cid:durableId="28192111">
    <w:abstractNumId w:val="39"/>
  </w:num>
  <w:num w:numId="31" w16cid:durableId="777455349">
    <w:abstractNumId w:val="44"/>
  </w:num>
  <w:num w:numId="32" w16cid:durableId="1724449762">
    <w:abstractNumId w:val="46"/>
  </w:num>
  <w:num w:numId="33" w16cid:durableId="1099563265">
    <w:abstractNumId w:val="23"/>
  </w:num>
  <w:num w:numId="34" w16cid:durableId="1189759820">
    <w:abstractNumId w:val="58"/>
  </w:num>
  <w:num w:numId="35" w16cid:durableId="928806414">
    <w:abstractNumId w:val="8"/>
  </w:num>
  <w:num w:numId="36" w16cid:durableId="208616523">
    <w:abstractNumId w:val="49"/>
  </w:num>
  <w:num w:numId="37" w16cid:durableId="967206546">
    <w:abstractNumId w:val="41"/>
  </w:num>
  <w:num w:numId="38" w16cid:durableId="1340809763">
    <w:abstractNumId w:val="34"/>
  </w:num>
  <w:num w:numId="39" w16cid:durableId="862597739">
    <w:abstractNumId w:val="40"/>
  </w:num>
  <w:num w:numId="40" w16cid:durableId="583219537">
    <w:abstractNumId w:val="50"/>
  </w:num>
  <w:num w:numId="41" w16cid:durableId="1978800650">
    <w:abstractNumId w:val="26"/>
  </w:num>
  <w:num w:numId="42" w16cid:durableId="830412029">
    <w:abstractNumId w:val="43"/>
  </w:num>
  <w:num w:numId="43" w16cid:durableId="2104716398">
    <w:abstractNumId w:val="9"/>
  </w:num>
  <w:num w:numId="44" w16cid:durableId="1503356432">
    <w:abstractNumId w:val="27"/>
  </w:num>
  <w:num w:numId="45" w16cid:durableId="1000348246">
    <w:abstractNumId w:val="21"/>
  </w:num>
  <w:num w:numId="46" w16cid:durableId="647830045">
    <w:abstractNumId w:val="3"/>
  </w:num>
  <w:num w:numId="47" w16cid:durableId="434255645">
    <w:abstractNumId w:val="11"/>
  </w:num>
  <w:num w:numId="48" w16cid:durableId="847721509">
    <w:abstractNumId w:val="5"/>
  </w:num>
  <w:num w:numId="49" w16cid:durableId="657264793">
    <w:abstractNumId w:val="24"/>
  </w:num>
  <w:num w:numId="50" w16cid:durableId="1049769098">
    <w:abstractNumId w:val="14"/>
  </w:num>
  <w:num w:numId="51" w16cid:durableId="379746048">
    <w:abstractNumId w:val="37"/>
  </w:num>
  <w:num w:numId="52" w16cid:durableId="1782727457">
    <w:abstractNumId w:val="47"/>
  </w:num>
  <w:num w:numId="53" w16cid:durableId="435945760">
    <w:abstractNumId w:val="42"/>
  </w:num>
  <w:num w:numId="54" w16cid:durableId="2079663923">
    <w:abstractNumId w:val="52"/>
  </w:num>
  <w:num w:numId="55" w16cid:durableId="463738844">
    <w:abstractNumId w:val="4"/>
  </w:num>
  <w:num w:numId="56" w16cid:durableId="1080102501">
    <w:abstractNumId w:val="16"/>
  </w:num>
  <w:num w:numId="57" w16cid:durableId="2102942863">
    <w:abstractNumId w:val="54"/>
  </w:num>
  <w:num w:numId="58" w16cid:durableId="1891570815">
    <w:abstractNumId w:val="60"/>
  </w:num>
  <w:num w:numId="59" w16cid:durableId="1058356611">
    <w:abstractNumId w:val="28"/>
  </w:num>
  <w:num w:numId="60" w16cid:durableId="1819567252">
    <w:abstractNumId w:val="38"/>
  </w:num>
  <w:num w:numId="61" w16cid:durableId="180554415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A8"/>
    <w:rsid w:val="0008687C"/>
    <w:rsid w:val="00192285"/>
    <w:rsid w:val="001F5B4A"/>
    <w:rsid w:val="0020096A"/>
    <w:rsid w:val="002D6281"/>
    <w:rsid w:val="00381567"/>
    <w:rsid w:val="0041636D"/>
    <w:rsid w:val="0053731A"/>
    <w:rsid w:val="005735DE"/>
    <w:rsid w:val="005E29FE"/>
    <w:rsid w:val="005F1FD3"/>
    <w:rsid w:val="0064420D"/>
    <w:rsid w:val="00670288"/>
    <w:rsid w:val="0078559A"/>
    <w:rsid w:val="007F2B48"/>
    <w:rsid w:val="0081206B"/>
    <w:rsid w:val="00893387"/>
    <w:rsid w:val="008D060E"/>
    <w:rsid w:val="00981103"/>
    <w:rsid w:val="009D0136"/>
    <w:rsid w:val="00AC51DA"/>
    <w:rsid w:val="00AD269B"/>
    <w:rsid w:val="00AE26DD"/>
    <w:rsid w:val="00B56A46"/>
    <w:rsid w:val="00BD118A"/>
    <w:rsid w:val="00BF31E1"/>
    <w:rsid w:val="00C71797"/>
    <w:rsid w:val="00CB38E1"/>
    <w:rsid w:val="00CC0968"/>
    <w:rsid w:val="00D1598E"/>
    <w:rsid w:val="00DE2A44"/>
    <w:rsid w:val="00E362AB"/>
    <w:rsid w:val="00E408A8"/>
    <w:rsid w:val="00E608F3"/>
    <w:rsid w:val="00E650E4"/>
    <w:rsid w:val="00E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1B971"/>
  <w15:chartTrackingRefBased/>
  <w15:docId w15:val="{5E3381F6-B113-4599-9793-5011C01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096A"/>
  </w:style>
  <w:style w:type="paragraph" w:styleId="llb">
    <w:name w:val="footer"/>
    <w:basedOn w:val="Norml"/>
    <w:link w:val="llb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096A"/>
  </w:style>
  <w:style w:type="character" w:styleId="Hiperhivatkozs">
    <w:name w:val="Hyperlink"/>
    <w:basedOn w:val="Bekezdsalapbettpusa"/>
    <w:uiPriority w:val="99"/>
    <w:unhideWhenUsed/>
    <w:rsid w:val="002009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096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15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19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mgv2-2-f.scribdassets.com/img/document/644318945/original/47626d5084/1706627845?v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rettsegitetelek.com/2020/11/az-1848-as-forradalom-es-az-aprilisi-torvenyek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00A2-1C08-4987-8C75-A658BABD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770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8. tétel</cp:keywords>
  <dc:description/>
  <cp:lastModifiedBy>andriska</cp:lastModifiedBy>
  <cp:revision>3</cp:revision>
  <dcterms:created xsi:type="dcterms:W3CDTF">2024-12-01T14:42:00Z</dcterms:created>
  <dcterms:modified xsi:type="dcterms:W3CDTF">2024-12-01T14:50:00Z</dcterms:modified>
</cp:coreProperties>
</file>